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157" w:afterLines="50" w:line="56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b/>
          <w:bCs/>
          <w:sz w:val="44"/>
          <w:szCs w:val="44"/>
          <w:lang w:val="en-US" w:eastAsia="zh-CN"/>
        </w:rPr>
        <w:t>河堤乡202</w:t>
      </w:r>
      <w:r>
        <w:rPr>
          <w:rFonts w:hint="eastAsia" w:ascii="宋体" w:hAnsi="宋体" w:cs="宋体"/>
          <w:b/>
          <w:bCs/>
          <w:sz w:val="44"/>
          <w:szCs w:val="44"/>
          <w:lang w:val="en-US" w:eastAsia="zh-CN"/>
        </w:rPr>
        <w:t>2</w:t>
      </w:r>
      <w:r>
        <w:rPr>
          <w:rFonts w:hint="eastAsia" w:ascii="宋体" w:hAnsi="宋体" w:eastAsia="宋体" w:cs="宋体"/>
          <w:b/>
          <w:bCs/>
          <w:sz w:val="44"/>
          <w:szCs w:val="44"/>
          <w:lang w:val="en-US" w:eastAsia="zh-CN"/>
        </w:rPr>
        <w:t>年法治政府建设工作报告</w:t>
      </w:r>
    </w:p>
    <w:p>
      <w:pPr>
        <w:jc w:val="left"/>
        <w:rPr>
          <w:rFonts w:hint="eastAsia" w:ascii="仿宋" w:hAnsi="仿宋" w:eastAsia="仿宋" w:cs="仿宋"/>
          <w:b w:val="0"/>
          <w:bCs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640" w:firstLineChars="20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为积极推进依法行政工作，202</w:t>
      </w:r>
      <w:r>
        <w:rPr>
          <w:rFonts w:hint="eastAsia" w:eastAsia="仿宋_GB2312" w:cs="宋体"/>
          <w:kern w:val="2"/>
          <w:sz w:val="32"/>
          <w:szCs w:val="32"/>
          <w:lang w:val="en-US" w:eastAsia="zh-CN" w:bidi="ar-SA"/>
        </w:rPr>
        <w:t>2</w:t>
      </w:r>
      <w:r>
        <w:rPr>
          <w:rFonts w:hint="eastAsia" w:ascii="Calibri" w:hAnsi="Calibri" w:eastAsia="仿宋_GB2312" w:cs="宋体"/>
          <w:kern w:val="2"/>
          <w:sz w:val="32"/>
          <w:szCs w:val="32"/>
          <w:lang w:val="en-US" w:eastAsia="zh-CN" w:bidi="ar-SA"/>
        </w:rPr>
        <w:t>年我乡在县委、县政府的坚强领导下，以习近平新时代中国特色社会主义思想为指导，认真学习贯彻习近平总书记关于法治政府建设的重要指示精神，以党史学习教育为契机，以法治政府建设目标为主要抓手，认真组织、强化领导、明确责任、制定计划、狠抓落实，确保了法治创建工作与业务工作有效结合，以法治创建促进各项工作科学发展。现结合我乡实际，将202</w:t>
      </w:r>
      <w:r>
        <w:rPr>
          <w:rFonts w:hint="eastAsia" w:eastAsia="仿宋_GB2312" w:cs="宋体"/>
          <w:kern w:val="2"/>
          <w:sz w:val="32"/>
          <w:szCs w:val="32"/>
          <w:lang w:val="en-US" w:eastAsia="zh-CN" w:bidi="ar-SA"/>
        </w:rPr>
        <w:t>2</w:t>
      </w:r>
      <w:r>
        <w:rPr>
          <w:rFonts w:hint="eastAsia" w:ascii="Calibri" w:hAnsi="Calibri" w:eastAsia="仿宋_GB2312" w:cs="宋体"/>
          <w:kern w:val="2"/>
          <w:sz w:val="32"/>
          <w:szCs w:val="32"/>
          <w:lang w:val="en-US" w:eastAsia="zh-CN" w:bidi="ar-SA"/>
        </w:rPr>
        <w:t>年法治政府建设工作情况总结如下：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黑体" w:hAnsi="黑体" w:eastAsia="黑体" w:cs="黑体"/>
          <w:b w:val="0"/>
          <w:bCs w:val="0"/>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　</w:t>
      </w:r>
      <w:r>
        <w:rPr>
          <w:rFonts w:hint="eastAsia" w:ascii="黑体" w:hAnsi="黑体" w:eastAsia="黑体" w:cs="黑体"/>
          <w:b w:val="0"/>
          <w:bCs w:val="0"/>
          <w:kern w:val="2"/>
          <w:sz w:val="32"/>
          <w:szCs w:val="32"/>
          <w:lang w:val="en-US" w:eastAsia="zh-CN" w:bidi="ar-SA"/>
        </w:rPr>
        <w:t>一、党政主要负责人履行推进法治建设第一责任人职责情况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我乡党政主要负责人严格落实法治建设第一责任人职责。</w:t>
      </w:r>
      <w:r>
        <w:rPr>
          <w:rFonts w:hint="eastAsia" w:ascii="Calibri" w:hAnsi="Calibri" w:eastAsia="仿宋_GB2312" w:cs="宋体"/>
          <w:b/>
          <w:bCs/>
          <w:kern w:val="2"/>
          <w:sz w:val="32"/>
          <w:szCs w:val="32"/>
          <w:lang w:val="en-US" w:eastAsia="zh-CN" w:bidi="ar-SA"/>
        </w:rPr>
        <w:t>一是</w:t>
      </w:r>
      <w:r>
        <w:rPr>
          <w:rFonts w:hint="eastAsia" w:ascii="Calibri" w:hAnsi="Calibri" w:eastAsia="仿宋_GB2312" w:cs="宋体"/>
          <w:kern w:val="2"/>
          <w:sz w:val="32"/>
          <w:szCs w:val="32"/>
          <w:lang w:val="en-US" w:eastAsia="zh-CN" w:bidi="ar-SA"/>
        </w:rPr>
        <w:t>中央全面依法治国工作会议召开以来，主要负责人主持召开乡党委理论学习中心组专题学习了习近平法治思想和中央全面依法治国工作会议精神，把习近平法治思想纳入干部教育培训重要学习内容，就全乡深入学习贯彻习近平总书记在中央全面依法治国工作会议上的讲话精神作了具体安排，组织全乡干部职工以及村（社区）“两委”干部认真学习，切实提高党员干部法治思维和依法办事能力。并科学谋划今后一个时期我乡法治社会、法治政府建设，充分发挥法治对我乡改革发展稳定的引领、规范、保障作用。</w:t>
      </w:r>
      <w:r>
        <w:rPr>
          <w:rFonts w:hint="eastAsia" w:ascii="Calibri" w:hAnsi="Calibri" w:eastAsia="仿宋_GB2312" w:cs="宋体"/>
          <w:b/>
          <w:bCs/>
          <w:kern w:val="2"/>
          <w:sz w:val="32"/>
          <w:szCs w:val="32"/>
          <w:lang w:val="en-US" w:eastAsia="zh-CN" w:bidi="ar-SA"/>
        </w:rPr>
        <w:t>二是</w:t>
      </w:r>
      <w:r>
        <w:rPr>
          <w:rFonts w:hint="eastAsia" w:ascii="Calibri" w:hAnsi="Calibri" w:eastAsia="仿宋_GB2312" w:cs="宋体"/>
          <w:kern w:val="2"/>
          <w:sz w:val="32"/>
          <w:szCs w:val="32"/>
          <w:lang w:val="en-US" w:eastAsia="zh-CN" w:bidi="ar-SA"/>
        </w:rPr>
        <w:t>提高政治站位，不断推动法治工作理念创新、机制创新、方法创新。全面贯彻落实党中央和省、市、县关于法治建设的重大决策部署，自觉运用法治思维和法治方式推动发展、化解矛盾、维护稳定。对法治建设重要工作亲自部署、重大问题亲自过问、重点环节亲自协调、重要任务亲自督办,切实发挥在推进法治建设中的领导核心作用。</w:t>
      </w:r>
      <w:r>
        <w:rPr>
          <w:rFonts w:hint="eastAsia" w:ascii="Calibri" w:hAnsi="Calibri" w:eastAsia="仿宋_GB2312" w:cs="宋体"/>
          <w:b/>
          <w:bCs/>
          <w:kern w:val="2"/>
          <w:sz w:val="32"/>
          <w:szCs w:val="32"/>
          <w:lang w:val="en-US" w:eastAsia="zh-CN" w:bidi="ar-SA"/>
        </w:rPr>
        <w:t>三是</w:t>
      </w:r>
      <w:r>
        <w:rPr>
          <w:rFonts w:hint="eastAsia" w:ascii="Calibri" w:hAnsi="Calibri" w:eastAsia="仿宋_GB2312" w:cs="宋体"/>
          <w:kern w:val="2"/>
          <w:sz w:val="32"/>
          <w:szCs w:val="32"/>
          <w:lang w:val="en-US" w:eastAsia="zh-CN" w:bidi="ar-SA"/>
        </w:rPr>
        <w:t>完善并制定落实相关具体办法措施，提升决策的科学化、民主化、法治化水平，进一步促进严格规范公正文明执法，提高执法规范性和执法效能，有效用好督查和示范这个手段，确保推进法治政府建设的责任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640" w:firstLineChars="200"/>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二、推进依法行政工作的主要措施及成效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b/>
          <w:bCs/>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（一）组织学习，加大宣传，提高意识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　一是</w:t>
      </w:r>
      <w:r>
        <w:rPr>
          <w:rFonts w:hint="eastAsia" w:ascii="Calibri" w:hAnsi="Calibri" w:eastAsia="仿宋_GB2312" w:cs="宋体"/>
          <w:kern w:val="2"/>
          <w:sz w:val="32"/>
          <w:szCs w:val="32"/>
          <w:lang w:val="en-US" w:eastAsia="zh-CN" w:bidi="ar-SA"/>
        </w:rPr>
        <w:t>深入学习宣传贯彻习近平法治思想，把习近平法治思想贯彻落实到全面依法治乡工作的全过程和各方面。我乡党委（党组）理论学习中心组把习近平法治思想作为重点内容，组织全乡党员干部进行系统学习和培训，积极开展习近平法治思想宣传活动，加强对习近平法治思想的宣传报道。</w:t>
      </w:r>
      <w:r>
        <w:rPr>
          <w:rFonts w:hint="eastAsia" w:ascii="Calibri" w:hAnsi="Calibri" w:eastAsia="仿宋_GB2312" w:cs="宋体"/>
          <w:b/>
          <w:bCs/>
          <w:kern w:val="2"/>
          <w:sz w:val="32"/>
          <w:szCs w:val="32"/>
          <w:lang w:val="en-US" w:eastAsia="zh-CN" w:bidi="ar-SA"/>
        </w:rPr>
        <w:t>二是</w:t>
      </w:r>
      <w:r>
        <w:rPr>
          <w:rFonts w:hint="eastAsia" w:ascii="Calibri" w:hAnsi="Calibri" w:eastAsia="仿宋_GB2312" w:cs="宋体"/>
          <w:kern w:val="2"/>
          <w:sz w:val="32"/>
          <w:szCs w:val="32"/>
          <w:lang w:val="en-US" w:eastAsia="zh-CN" w:bidi="ar-SA"/>
        </w:rPr>
        <w:t>我乡坚持以习近平法治思想为指导，认真学习党中央、国务院印发的《法治政府建设与责任落实督察工作规定》，《睢县法治政府建设实施纲要（2021-2025年）》等文件要求，全面依法履行政府职能，不断完善依法行政制度体系，提高科学民主依法决策水平，坚持严格规范公正文明执法，强化权力制约和监督，依法有效化解社会矛盾，着力提升政府工作人员法治思维和依法行政能力，执法公信力切实增强，人民群众合法权益得到维护，法治化营商环境持续优化，《实施纲要》确定的目标任务基本完成。</w:t>
      </w:r>
      <w:r>
        <w:rPr>
          <w:rFonts w:hint="eastAsia" w:ascii="Calibri" w:hAnsi="Calibri" w:eastAsia="仿宋_GB2312" w:cs="宋体"/>
          <w:b/>
          <w:bCs/>
          <w:kern w:val="2"/>
          <w:sz w:val="32"/>
          <w:szCs w:val="32"/>
          <w:lang w:val="en-US" w:eastAsia="zh-CN" w:bidi="ar-SA"/>
        </w:rPr>
        <w:t>三是</w:t>
      </w:r>
      <w:r>
        <w:rPr>
          <w:rFonts w:hint="eastAsia" w:ascii="Calibri" w:hAnsi="Calibri" w:eastAsia="仿宋_GB2312" w:cs="宋体"/>
          <w:kern w:val="2"/>
          <w:sz w:val="32"/>
          <w:szCs w:val="32"/>
          <w:lang w:val="en-US" w:eastAsia="zh-CN" w:bidi="ar-SA"/>
        </w:rPr>
        <w:t>切实加强法治宣传教育。我乡建立健全领导干部、一般干部学法制度，对《行政处罚法》《行政复议法》《国务院办公厅关于全面推行行政执法公示制度执法全过程记录制度重大执法决定法制审核制度的指导意见》和《重大行政决策程序暂行条例》等行政执法方面的法律法规和政策规定，着力提高行政执法人员的整体素质，使全体执法干部在具体操作中能够熟练运用有关法律、法规和政策。</w:t>
      </w:r>
      <w:r>
        <w:rPr>
          <w:rFonts w:hint="eastAsia" w:ascii="Calibri" w:hAnsi="Calibri" w:eastAsia="仿宋_GB2312" w:cs="宋体"/>
          <w:b/>
          <w:bCs/>
          <w:kern w:val="2"/>
          <w:sz w:val="32"/>
          <w:szCs w:val="32"/>
          <w:lang w:val="en-US" w:eastAsia="zh-CN" w:bidi="ar-SA"/>
        </w:rPr>
        <w:t>四是</w:t>
      </w:r>
      <w:r>
        <w:rPr>
          <w:rFonts w:hint="eastAsia" w:ascii="Calibri" w:hAnsi="Calibri" w:eastAsia="仿宋_GB2312" w:cs="宋体"/>
          <w:kern w:val="2"/>
          <w:sz w:val="32"/>
          <w:szCs w:val="32"/>
          <w:lang w:val="en-US" w:eastAsia="zh-CN" w:bidi="ar-SA"/>
        </w:rPr>
        <w:t>健全法治宣传教育机制。认真落实“谁执法谁普法”普法责任制，广泛开展法治宣传教育活动。抓住新法出台时机，进行有计划、有重点、有力度的普法，在更高层次上推进普法工作，在全乡形成尊法学法守法用法的良好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b/>
          <w:bCs/>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（二）依法全面履行行政职能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以提高乡党委、政府的领导水平和执政能力为重点，认真落实党风廉政建设责任制和领导干部“一岗双责”制，乡党政班子成员带头依法办事，使党委、政府依法执政能力得到了进一步提高。进一步健全完善了行政执法责任制，明确主体责任，严格执行上级相关职能部门委托的执法权。加强各部门的行政执法管理工作，持续规范行政执法行为，健全行政执法人员资格管理制度，加强对行政执法人员培训，提高执法人员的依法执法意识，有效地避免了滥用行政执法权力和行政不作为现象的发生，全面提高机关工作人员法治思维和依法行政能力。积极组织执法人员执法资格考试，至目前我乡领导干部取得执法资格证的共有6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b/>
          <w:bCs/>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（三）完善决策制度，推进依法行政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一是</w:t>
      </w:r>
      <w:r>
        <w:rPr>
          <w:rFonts w:hint="eastAsia" w:ascii="Calibri" w:hAnsi="Calibri" w:eastAsia="仿宋_GB2312" w:cs="宋体"/>
          <w:kern w:val="2"/>
          <w:sz w:val="32"/>
          <w:szCs w:val="32"/>
          <w:lang w:val="en-US" w:eastAsia="zh-CN" w:bidi="ar-SA"/>
        </w:rPr>
        <w:t>进一步完善行政决策程序。推动全乡落实《重大行政决策程序暂行条例》，严格决策责任追究，提升决策公信力，加强重大行政决策公众参与平台建设。</w:t>
      </w:r>
      <w:r>
        <w:rPr>
          <w:rFonts w:hint="eastAsia" w:ascii="Calibri" w:hAnsi="Calibri" w:eastAsia="仿宋_GB2312" w:cs="宋体"/>
          <w:b/>
          <w:bCs/>
          <w:kern w:val="2"/>
          <w:sz w:val="32"/>
          <w:szCs w:val="32"/>
          <w:lang w:val="en-US" w:eastAsia="zh-CN" w:bidi="ar-SA"/>
        </w:rPr>
        <w:t>二是</w:t>
      </w:r>
      <w:r>
        <w:rPr>
          <w:rFonts w:hint="eastAsia" w:ascii="Calibri" w:hAnsi="Calibri" w:eastAsia="仿宋_GB2312" w:cs="宋体"/>
          <w:kern w:val="2"/>
          <w:sz w:val="32"/>
          <w:szCs w:val="32"/>
          <w:lang w:val="en-US" w:eastAsia="zh-CN" w:bidi="ar-SA"/>
        </w:rPr>
        <w:t>进一步健全政府法律顾问制度。完善法律顾问工作机制，发挥法律顾问在重大行政决策、制度建设、矛盾纠纷化解、推进依法行政等工作中的积极作用。</w:t>
      </w:r>
      <w:r>
        <w:rPr>
          <w:rFonts w:hint="eastAsia" w:ascii="Calibri" w:hAnsi="Calibri" w:eastAsia="仿宋_GB2312" w:cs="宋体"/>
          <w:b/>
          <w:bCs/>
          <w:kern w:val="2"/>
          <w:sz w:val="32"/>
          <w:szCs w:val="32"/>
          <w:lang w:val="en-US" w:eastAsia="zh-CN" w:bidi="ar-SA"/>
        </w:rPr>
        <w:t>三是</w:t>
      </w:r>
      <w:r>
        <w:rPr>
          <w:rFonts w:hint="eastAsia" w:ascii="Calibri" w:hAnsi="Calibri" w:eastAsia="仿宋_GB2312" w:cs="宋体"/>
          <w:kern w:val="2"/>
          <w:sz w:val="32"/>
          <w:szCs w:val="32"/>
          <w:lang w:val="en-US" w:eastAsia="zh-CN" w:bidi="ar-SA"/>
        </w:rPr>
        <w:t>牢固树立依法决策意识，严格遵守法定权限和程序，注重听取法律顾问、公职律师或者有关专家的意见。继续强化重大决策的审查制度，在涉及镇域内经济社会发展和群众利益的重大问题上，始终坚持由部门提出议案，主管领导先期审查，最后提交乡政府党政班子讨论决定的制度和程序，防止了行政决策的随意性，提高了行政决策的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b/>
          <w:bCs/>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（四）规范文明执法，确保公平公正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一是</w:t>
      </w:r>
      <w:r>
        <w:rPr>
          <w:rFonts w:hint="eastAsia" w:ascii="Calibri" w:hAnsi="Calibri" w:eastAsia="仿宋_GB2312" w:cs="宋体"/>
          <w:kern w:val="2"/>
          <w:sz w:val="32"/>
          <w:szCs w:val="32"/>
          <w:lang w:val="en-US" w:eastAsia="zh-CN" w:bidi="ar-SA"/>
        </w:rPr>
        <w:t>深化行政执法体制改革。加快探索推进综合执法改革，科学划分执法权限，合理配置执法力量，形成分工合理、职责清晰、协同高效的执法工作体系。</w:t>
      </w:r>
      <w:r>
        <w:rPr>
          <w:rFonts w:hint="eastAsia" w:ascii="Calibri" w:hAnsi="Calibri" w:eastAsia="仿宋_GB2312" w:cs="宋体"/>
          <w:b/>
          <w:bCs/>
          <w:kern w:val="2"/>
          <w:sz w:val="32"/>
          <w:szCs w:val="32"/>
          <w:lang w:val="en-US" w:eastAsia="zh-CN" w:bidi="ar-SA"/>
        </w:rPr>
        <w:t>二是</w:t>
      </w:r>
      <w:r>
        <w:rPr>
          <w:rFonts w:hint="eastAsia" w:ascii="Calibri" w:hAnsi="Calibri" w:eastAsia="仿宋_GB2312" w:cs="宋体"/>
          <w:kern w:val="2"/>
          <w:sz w:val="32"/>
          <w:szCs w:val="32"/>
          <w:lang w:val="en-US" w:eastAsia="zh-CN" w:bidi="ar-SA"/>
        </w:rPr>
        <w:t>全面推行行政执法“三项制度”。严格落实行政执法“三项制度”，基本实现执法信息准确公示、执法全过程留痕、重大执法决定法制审核全覆盖。</w:t>
      </w:r>
      <w:r>
        <w:rPr>
          <w:rFonts w:hint="eastAsia" w:ascii="Calibri" w:hAnsi="Calibri" w:eastAsia="仿宋_GB2312" w:cs="宋体"/>
          <w:b/>
          <w:bCs/>
          <w:kern w:val="2"/>
          <w:sz w:val="32"/>
          <w:szCs w:val="32"/>
          <w:lang w:val="en-US" w:eastAsia="zh-CN" w:bidi="ar-SA"/>
        </w:rPr>
        <w:t>三是</w:t>
      </w:r>
      <w:r>
        <w:rPr>
          <w:rFonts w:hint="eastAsia" w:ascii="Calibri" w:hAnsi="Calibri" w:eastAsia="仿宋_GB2312" w:cs="宋体"/>
          <w:kern w:val="2"/>
          <w:sz w:val="32"/>
          <w:szCs w:val="32"/>
          <w:lang w:val="en-US" w:eastAsia="zh-CN" w:bidi="ar-SA"/>
        </w:rPr>
        <w:t>突出重点领域行政执法。着力加强营商环境、公共卫生、食品药品安全、生态环境保护、安全生产、交通运输、自然资源开发、劳动保障等关系群众切身利益的重点领域执法力度，切实解决执法不作为、慢作为、乱作为问题，依法惩处各类违法行为，认真组织重大案件回访，进一步提升执法监管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b/>
          <w:bCs/>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（五）依法有效化解社会矛盾纠纷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全面整合各方力量，深入贯彻落实人民调解法，完成乡村人民调解员换届工作，构建强有力的多元化矛盾纠纷化解机制，大力开展矛盾纠纷大排查大化解活动，及时解决人民群众合理诉求，有效维护人民群众合法权益。深入推进公共法律服务中心建设工作和“一村（社区）一法律顾问”工作机制，将司法服务延伸到基层每一角落，妥善化解基层矛盾纠纷。规范信访工作程序，畅通信访渠道，继续推进乡领导干部定期接访、下访活动，加大积案化解力度，认真办理信访案件。实行诉访分离，充分发挥法律顾问能效，及时就地解决群众合理诉求，努力从源头上预防和减少信访问题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b/>
          <w:bCs/>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黑体" w:hAnsi="黑体" w:eastAsia="黑体" w:cs="黑体"/>
          <w:b w:val="0"/>
          <w:bCs w:val="0"/>
          <w:kern w:val="2"/>
          <w:sz w:val="32"/>
          <w:szCs w:val="32"/>
          <w:lang w:val="en-US" w:eastAsia="zh-CN" w:bidi="ar-SA"/>
        </w:rPr>
        <w:t>三、存在的主要问题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一是</w:t>
      </w:r>
      <w:r>
        <w:rPr>
          <w:rFonts w:hint="eastAsia" w:ascii="Calibri" w:hAnsi="Calibri" w:eastAsia="仿宋_GB2312" w:cs="宋体"/>
          <w:kern w:val="2"/>
          <w:sz w:val="32"/>
          <w:szCs w:val="32"/>
          <w:lang w:val="en-US" w:eastAsia="zh-CN" w:bidi="ar-SA"/>
        </w:rPr>
        <w:t>部分领导干部运用法治思维和法治方式科学决策、依法决策的意识不够强，解决信访问题、化解社会矛盾的水平还不够高。</w:t>
      </w:r>
      <w:r>
        <w:rPr>
          <w:rFonts w:hint="eastAsia" w:ascii="Calibri" w:hAnsi="Calibri" w:eastAsia="仿宋_GB2312" w:cs="宋体"/>
          <w:b/>
          <w:bCs/>
          <w:kern w:val="2"/>
          <w:sz w:val="32"/>
          <w:szCs w:val="32"/>
          <w:lang w:val="en-US" w:eastAsia="zh-CN" w:bidi="ar-SA"/>
        </w:rPr>
        <w:t>二是</w:t>
      </w:r>
      <w:r>
        <w:rPr>
          <w:rFonts w:hint="eastAsia" w:ascii="Calibri" w:hAnsi="Calibri" w:eastAsia="仿宋_GB2312" w:cs="宋体"/>
          <w:kern w:val="2"/>
          <w:sz w:val="32"/>
          <w:szCs w:val="32"/>
          <w:lang w:val="en-US" w:eastAsia="zh-CN" w:bidi="ar-SA"/>
        </w:rPr>
        <w:t>综合行政执法改革工作不深入、不彻底，基层行政执法改革仍需持续推进。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b/>
          <w:bCs/>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黑体" w:hAnsi="黑体" w:eastAsia="黑体" w:cs="黑体"/>
          <w:b w:val="0"/>
          <w:bCs w:val="0"/>
          <w:kern w:val="2"/>
          <w:sz w:val="32"/>
          <w:szCs w:val="32"/>
          <w:lang w:val="en-US" w:eastAsia="zh-CN" w:bidi="ar-SA"/>
        </w:rPr>
        <w:t>四、下一步工作计划</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我乡将进一步统一全乡各单位和广大党员干部以及行政执法人员的思想认识，继续深入推进法治政府创建工作。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（一）加强依法行政能力建设。</w:t>
      </w:r>
      <w:r>
        <w:rPr>
          <w:rFonts w:hint="eastAsia" w:ascii="Calibri" w:hAnsi="Calibri" w:eastAsia="仿宋_GB2312" w:cs="宋体"/>
          <w:kern w:val="2"/>
          <w:sz w:val="32"/>
          <w:szCs w:val="32"/>
          <w:lang w:val="en-US" w:eastAsia="zh-CN" w:bidi="ar-SA"/>
        </w:rPr>
        <w:t>提高领导干部学法用法能力，不断提升行政执法人员依法行政的能力和水平，努力形成办事依法、遇事找法、解决问题用法、化解矛盾靠法的良好法治氛围。 积极参加上级组织的依法行政工作培训，提高我乡执法工作人员的业务能力和工作水平。继续组织开展行政执法证申领工作。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（二）继续抓好法治宣传教育。</w:t>
      </w:r>
      <w:r>
        <w:rPr>
          <w:rFonts w:hint="eastAsia" w:eastAsia="仿宋_GB2312" w:cs="宋体"/>
          <w:b w:val="0"/>
          <w:bCs w:val="0"/>
          <w:kern w:val="2"/>
          <w:sz w:val="32"/>
          <w:szCs w:val="32"/>
          <w:lang w:val="en-US" w:eastAsia="zh-CN" w:bidi="ar-SA"/>
        </w:rPr>
        <w:t>按照</w:t>
      </w:r>
      <w:r>
        <w:rPr>
          <w:rFonts w:hint="eastAsia" w:ascii="Calibri" w:hAnsi="Calibri" w:eastAsia="仿宋_GB2312" w:cs="宋体"/>
          <w:kern w:val="2"/>
          <w:sz w:val="32"/>
          <w:szCs w:val="32"/>
          <w:lang w:val="en-US" w:eastAsia="zh-CN" w:bidi="ar-SA"/>
        </w:rPr>
        <w:t>“八五普法”部署，加大法治宣传教育，紧紧围绕乡党委、政府中心工作和社会热点问题，广泛开展法治宣传活动，营造良好的社会法治氛围。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w:t>
      </w:r>
      <w:r>
        <w:rPr>
          <w:rFonts w:hint="eastAsia" w:ascii="Calibri" w:hAnsi="Calibri" w:eastAsia="仿宋_GB2312" w:cs="宋体"/>
          <w:b/>
          <w:bCs/>
          <w:kern w:val="2"/>
          <w:sz w:val="32"/>
          <w:szCs w:val="32"/>
          <w:lang w:val="en-US" w:eastAsia="zh-CN" w:bidi="ar-SA"/>
        </w:rPr>
        <w:t>（三）健全法治监督机制。</w:t>
      </w:r>
      <w:r>
        <w:rPr>
          <w:rFonts w:hint="eastAsia" w:ascii="Calibri" w:hAnsi="Calibri" w:eastAsia="仿宋_GB2312" w:cs="宋体"/>
          <w:kern w:val="2"/>
          <w:sz w:val="32"/>
          <w:szCs w:val="32"/>
          <w:lang w:val="en-US" w:eastAsia="zh-CN" w:bidi="ar-SA"/>
        </w:rPr>
        <w:t>认真履行行政执法监督的各项职能，加强行政执法监督检查力度，督促各行政执法部门全面、正确履行行政执法职责，积极开展执法督查活动，把法律监督、层级监督、舆论监督、社会监督和专项监督有机结合起来，重点抓好关键部门、关键环节和群众关心的热点、难点事项的监督，加大对执法不规范、不公正、不文明、不作为行为的查处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rFonts w:hint="eastAsia" w:eastAsia="仿宋_GB2312" w:cs="宋体"/>
          <w:kern w:val="2"/>
          <w:sz w:val="32"/>
          <w:szCs w:val="32"/>
          <w:lang w:val="en-US" w:eastAsia="zh-CN" w:bidi="ar-SA"/>
        </w:rPr>
      </w:pPr>
      <w:r>
        <w:rPr>
          <w:rFonts w:hint="eastAsia" w:eastAsia="仿宋_GB2312" w:cs="宋体"/>
          <w:kern w:val="2"/>
          <w:sz w:val="32"/>
          <w:szCs w:val="32"/>
          <w:lang w:val="en-US" w:eastAsia="zh-CN" w:bidi="ar-SA"/>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rFonts w:hint="eastAsia" w:eastAsia="仿宋_GB2312" w:cs="宋体"/>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rFonts w:hint="eastAsia" w:ascii="Calibri" w:hAnsi="Calibri" w:eastAsia="仿宋_GB2312" w:cs="宋体"/>
          <w:kern w:val="2"/>
          <w:sz w:val="32"/>
          <w:szCs w:val="32"/>
          <w:lang w:val="en-US" w:eastAsia="zh-CN" w:bidi="ar-SA"/>
        </w:rPr>
      </w:pPr>
      <w:r>
        <w:rPr>
          <w:rFonts w:hint="eastAsia" w:eastAsia="仿宋_GB2312" w:cs="宋体"/>
          <w:kern w:val="2"/>
          <w:sz w:val="32"/>
          <w:szCs w:val="32"/>
          <w:lang w:val="en-US" w:eastAsia="zh-CN" w:bidi="ar-SA"/>
        </w:rPr>
        <w:t xml:space="preserve">                      </w:t>
      </w:r>
      <w:r>
        <w:rPr>
          <w:rFonts w:hint="eastAsia" w:ascii="Calibri" w:hAnsi="Calibri" w:eastAsia="仿宋_GB2312" w:cs="宋体"/>
          <w:kern w:val="2"/>
          <w:sz w:val="32"/>
          <w:szCs w:val="32"/>
          <w:lang w:val="en-US" w:eastAsia="zh-CN" w:bidi="ar-SA"/>
        </w:rPr>
        <w:t>河堤乡人民政府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rFonts w:hint="eastAsia" w:ascii="Calibri" w:hAnsi="Calibri" w:eastAsia="仿宋_GB2312" w:cs="宋体"/>
          <w:kern w:val="2"/>
          <w:sz w:val="32"/>
          <w:szCs w:val="32"/>
          <w:lang w:val="en-US" w:eastAsia="zh-CN" w:bidi="ar-SA"/>
        </w:rPr>
      </w:pPr>
      <w:r>
        <w:rPr>
          <w:rFonts w:hint="eastAsia" w:eastAsia="仿宋_GB2312" w:cs="宋体"/>
          <w:kern w:val="2"/>
          <w:sz w:val="32"/>
          <w:szCs w:val="32"/>
          <w:lang w:val="en-US" w:eastAsia="zh-CN" w:bidi="ar-SA"/>
        </w:rPr>
        <w:t xml:space="preserve">                        </w:t>
      </w:r>
      <w:r>
        <w:rPr>
          <w:rFonts w:hint="eastAsia" w:ascii="Calibri" w:hAnsi="Calibri" w:eastAsia="仿宋_GB2312" w:cs="宋体"/>
          <w:kern w:val="2"/>
          <w:sz w:val="32"/>
          <w:szCs w:val="32"/>
          <w:lang w:val="en-US" w:eastAsia="zh-CN" w:bidi="ar-SA"/>
        </w:rPr>
        <w:t>2022年</w:t>
      </w:r>
      <w:r>
        <w:rPr>
          <w:rFonts w:hint="eastAsia" w:eastAsia="仿宋_GB2312" w:cs="宋体"/>
          <w:kern w:val="2"/>
          <w:sz w:val="32"/>
          <w:szCs w:val="32"/>
          <w:lang w:val="en-US" w:eastAsia="zh-CN" w:bidi="ar-SA"/>
        </w:rPr>
        <w:t>12</w:t>
      </w:r>
      <w:r>
        <w:rPr>
          <w:rFonts w:hint="eastAsia" w:ascii="Calibri" w:hAnsi="Calibri" w:eastAsia="仿宋_GB2312" w:cs="宋体"/>
          <w:kern w:val="2"/>
          <w:sz w:val="32"/>
          <w:szCs w:val="32"/>
          <w:lang w:val="en-US" w:eastAsia="zh-CN" w:bidi="ar-SA"/>
        </w:rPr>
        <w:t>月</w:t>
      </w:r>
      <w:r>
        <w:rPr>
          <w:rFonts w:hint="eastAsia" w:eastAsia="仿宋_GB2312" w:cs="宋体"/>
          <w:kern w:val="2"/>
          <w:sz w:val="32"/>
          <w:szCs w:val="32"/>
          <w:lang w:val="en-US" w:eastAsia="zh-CN" w:bidi="ar-SA"/>
        </w:rPr>
        <w:t>3</w:t>
      </w:r>
      <w:r>
        <w:rPr>
          <w:rFonts w:hint="eastAsia" w:ascii="Calibri" w:hAnsi="Calibri" w:eastAsia="仿宋_GB2312" w:cs="宋体"/>
          <w:kern w:val="2"/>
          <w:sz w:val="32"/>
          <w:szCs w:val="32"/>
          <w:lang w:val="en-US" w:eastAsia="zh-CN" w:bidi="ar-SA"/>
        </w:rPr>
        <w:t>日</w:t>
      </w:r>
    </w:p>
    <w:p>
      <w:pPr>
        <w:keepNext w:val="0"/>
        <w:keepLines w:val="0"/>
        <w:pageBreakBefore w:val="0"/>
        <w:kinsoku/>
        <w:wordWrap/>
        <w:overflowPunct/>
        <w:topLinePunct w:val="0"/>
        <w:autoSpaceDE/>
        <w:autoSpaceDN/>
        <w:bidi w:val="0"/>
        <w:adjustRightInd/>
        <w:snapToGrid/>
        <w:spacing w:after="157" w:afterLines="50" w:line="560" w:lineRule="exact"/>
        <w:ind w:firstLine="5120" w:firstLineChars="1600"/>
        <w:textAlignment w:val="auto"/>
        <w:rPr>
          <w:rFonts w:hint="eastAsia" w:ascii="Calibri" w:hAnsi="Calibri" w:eastAsia="仿宋_GB2312" w:cs="宋体"/>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157" w:afterLines="50" w:line="560" w:lineRule="exact"/>
        <w:ind w:firstLine="640" w:firstLineChars="200"/>
        <w:textAlignment w:val="auto"/>
        <w:rPr>
          <w:rFonts w:hint="eastAsia" w:ascii="Calibri" w:hAnsi="Calibri" w:eastAsia="仿宋_GB2312" w:cs="宋体"/>
          <w:kern w:val="2"/>
          <w:sz w:val="32"/>
          <w:szCs w:val="32"/>
          <w:lang w:val="en-US" w:eastAsia="zh-CN" w:bidi="ar-SA"/>
        </w:rPr>
      </w:pPr>
      <w:r>
        <w:rPr>
          <w:rFonts w:hint="eastAsia" w:ascii="Calibri" w:hAnsi="Calibri" w:eastAsia="仿宋_GB2312" w:cs="宋体"/>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after="157" w:afterLines="50" w:line="560"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default" w:eastAsia="仿宋_GB2312"/>
          <w:sz w:val="32"/>
          <w:szCs w:val="32"/>
          <w:lang w:val="en-US" w:eastAsia="zh-CN"/>
        </w:rPr>
      </w:pPr>
      <w:r>
        <w:rPr>
          <w:rFonts w:hint="eastAsia" w:ascii="方正小标宋简体" w:hAnsi="方正小标宋简体" w:eastAsia="方正小标宋简体" w:cs="方正小标宋简体"/>
          <w:sz w:val="44"/>
          <w:szCs w:val="44"/>
          <w:lang w:val="en-US" w:eastAsia="zh-CN"/>
        </w:rPr>
        <w:t xml:space="preserve"> </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0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09e289f9-5d34-41b7-8df6-f760957cadb7"/>
  </w:docVars>
  <w:rsids>
    <w:rsidRoot w:val="00000000"/>
    <w:rsid w:val="01AE1C40"/>
    <w:rsid w:val="040626FF"/>
    <w:rsid w:val="06461F3C"/>
    <w:rsid w:val="08737DB9"/>
    <w:rsid w:val="09DF6B5D"/>
    <w:rsid w:val="0C1464BD"/>
    <w:rsid w:val="0E8A347A"/>
    <w:rsid w:val="0FC83232"/>
    <w:rsid w:val="11A21010"/>
    <w:rsid w:val="163119CE"/>
    <w:rsid w:val="16B0772A"/>
    <w:rsid w:val="1A2024D1"/>
    <w:rsid w:val="1A4E5A90"/>
    <w:rsid w:val="20465201"/>
    <w:rsid w:val="28FD69FA"/>
    <w:rsid w:val="29705B8D"/>
    <w:rsid w:val="300D4E4E"/>
    <w:rsid w:val="33F20F2A"/>
    <w:rsid w:val="350B79CC"/>
    <w:rsid w:val="35B33080"/>
    <w:rsid w:val="37224ACD"/>
    <w:rsid w:val="39CF361B"/>
    <w:rsid w:val="3A43428E"/>
    <w:rsid w:val="3B7C4AC9"/>
    <w:rsid w:val="3C663A24"/>
    <w:rsid w:val="3CCA034E"/>
    <w:rsid w:val="3D4A5933"/>
    <w:rsid w:val="3D6B1EF9"/>
    <w:rsid w:val="3F3643C1"/>
    <w:rsid w:val="41FA0BDD"/>
    <w:rsid w:val="420D6CF1"/>
    <w:rsid w:val="45494DB0"/>
    <w:rsid w:val="47C56BFB"/>
    <w:rsid w:val="48FB43EB"/>
    <w:rsid w:val="495871F1"/>
    <w:rsid w:val="4D702B40"/>
    <w:rsid w:val="4D832CB1"/>
    <w:rsid w:val="4EC01F05"/>
    <w:rsid w:val="536B2AC5"/>
    <w:rsid w:val="53A51893"/>
    <w:rsid w:val="546B386E"/>
    <w:rsid w:val="56617B1E"/>
    <w:rsid w:val="574D00A2"/>
    <w:rsid w:val="574E72D4"/>
    <w:rsid w:val="5CF20AC5"/>
    <w:rsid w:val="61DA75E3"/>
    <w:rsid w:val="678212AA"/>
    <w:rsid w:val="67C26CB6"/>
    <w:rsid w:val="687731D1"/>
    <w:rsid w:val="6983036A"/>
    <w:rsid w:val="6C1006E8"/>
    <w:rsid w:val="6D6A56E0"/>
    <w:rsid w:val="6DF826BE"/>
    <w:rsid w:val="6E0458F0"/>
    <w:rsid w:val="6E455D7A"/>
    <w:rsid w:val="723F4D5F"/>
    <w:rsid w:val="75D33839"/>
    <w:rsid w:val="7B17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3105</Words>
  <Characters>3126</Characters>
  <Paragraphs>54</Paragraphs>
  <TotalTime>15</TotalTime>
  <ScaleCrop>false</ScaleCrop>
  <LinksUpToDate>false</LinksUpToDate>
  <CharactersWithSpaces>3231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2021-12-05T15:39:00Z</dcterms:created>
  <dc:creator>宋振民</dc:creator>
  <cp:lastModifiedBy>Administrator</cp:lastModifiedBy>
  <cp:lastPrinted>2022-01-25T03:16:00Z</cp:lastPrinted>
  <dcterms:modified xsi:type="dcterms:W3CDTF">2023-03-20T02:44:22Z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8461916681D3479A93E4E038A056307B</vt:lpwstr>
  </property>
</Properties>
</file>