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睢县行政服务中心法治建设工作总结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《睢县法治建设自查任务分解》的要求，睢县行政服务中心严格按照分解任务要求，进一步梳理本单位法治建设各项工作，纵深推进“放管服”改革，打造市场化法治化营商环境，培育壮大市场主体，激发市场活力和社会创造力，持续优化营商环境，立足本职工作，明确细化工作任务，睢县行政服务中心法治建设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一、优化便民服务，推进政务服务标准化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目前，我县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行政服务中心</w:t>
      </w:r>
      <w:r>
        <w:rPr>
          <w:rFonts w:hint="eastAsia" w:ascii="仿宋_GB2312" w:eastAsia="仿宋_GB2312"/>
          <w:sz w:val="32"/>
          <w:szCs w:val="32"/>
        </w:rPr>
        <w:t>进驻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个单位，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</w:t>
      </w:r>
      <w:r>
        <w:rPr>
          <w:rFonts w:hint="eastAsia" w:ascii="仿宋_GB2312" w:eastAsia="仿宋_GB2312"/>
          <w:sz w:val="32"/>
          <w:szCs w:val="32"/>
        </w:rPr>
        <w:t>个窗口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200余名窗口工作人员，可以办理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2061</w:t>
      </w:r>
      <w:r>
        <w:rPr>
          <w:rFonts w:hint="eastAsia" w:ascii="仿宋_GB2312" w:eastAsia="仿宋_GB2312"/>
          <w:sz w:val="32"/>
          <w:szCs w:val="32"/>
        </w:rPr>
        <w:t>项业务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事项进驻率93.8%，“一窗”受理率83.9%</w:t>
      </w:r>
      <w:r>
        <w:rPr>
          <w:rFonts w:hint="eastAsia" w:ascii="仿宋_GB2312" w:eastAsia="仿宋_GB2312"/>
          <w:sz w:val="32"/>
          <w:szCs w:val="32"/>
        </w:rPr>
        <w:t>。对于进驻行政服务大厅的单位，业务按照“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十同”的要求应进必进，并落实审批专员制。单位要彻底下放权力，对所受理事项中的即办件，授予窗口直接行使行政审批决定权；对不需要现场勘察、集体讨论、专家论证听证的政务服务事项在窗口受理后直接办结。需要现场勘察、集体讨论的政务服务事项，各局委要明确审批时间，由审批专员定期进行审批，在综合窗口限期办结，并实行超时默认制度。对急需办理的事项授予窗口先审批再报告的特别处置权。力争做到“只进一扇门”，办好所有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持续优化便民服务，</w:t>
      </w:r>
      <w:r>
        <w:rPr>
          <w:rFonts w:hint="eastAsia" w:ascii="仿宋_GB2312" w:eastAsia="仿宋_GB2312"/>
          <w:sz w:val="32"/>
          <w:szCs w:val="32"/>
        </w:rPr>
        <w:t>真正把改革的成果惠及到每一位人民群众。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zh-CN"/>
        </w:rPr>
        <w:t>二、一窗受理集成服务，提高服务质量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为全面推动“放管服”改革,充分彰显政务服务大厅“一窗式”高效、便捷的综合性服务功能，进一步提升服务企业能力，行政中心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推行“一窗受理、信息推送、并联审批、限时办结、统一出件”，并与我县工程建设项目并联审批平台线上线下融合。从优流程、减要件、压时限、提效率入手，精简报装手续，规范收费行为，各项专营设施与工程同步设计、同步施工，竣工验收后限时办理接入事宜。对招商引资项目实行保姆式代办制，从正式签约到开工建设实行全程跟踪服务，代办各种手续。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32"/>
          <w:szCs w:val="32"/>
          <w:lang w:val="en-US" w:eastAsia="zh-CN" w:bidi="ar"/>
        </w:rPr>
        <w:t>通过“一窗受理、集成服务”，让数据多跑腿，让群众少跑腿，以互联网+政务服务为基础，县行政服务中心开展红色代办业务，并增加邮政快递窗口，免费寄件，确保群众“最多跑一次”，目前中心正在筹备“跨省通办”窗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全面开展政务服务“好差评”系统</w:t>
      </w:r>
    </w:p>
    <w:p>
      <w:pPr>
        <w:keepNext w:val="0"/>
        <w:keepLines w:val="0"/>
        <w:pageBreakBefore w:val="0"/>
        <w:widowControl w:val="0"/>
        <w:tabs>
          <w:tab w:val="left" w:pos="2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河南省人民政府推进政府职能转变和“放管服”改革协调小组办公室关于进一步做好政务服务“好差评”工作的通知》（豫“放管服”组办〔2019〕5号）和《关于印发县政务服务和大数据管理局睢县政务服务“好差评”工作制度（试行）的通知》的要求，睢县行政服务中心在各个窗口设置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好差评”评价仪，由办事群众对窗口工作人员服务态度、服务质量进行及时评价和反馈，工作人员引导企业和群众进行“一次一评”。睢县行政服务中心坚持“服务好不好，群众说了算”的标准，借助“好差评”制度和县纪委“睢县评议二维码”，及时了解群众需求，对窗口服务存在的问题进行针对性整改，进一步规范窗口服务，切实为群众＂办实事、办好事、解难事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持续优化营商环境，营造良好法治氛围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《关于做好&lt;优化营商环境条例&gt;贯彻实施工作的通知》文件要求,中心领导高度重视,认真部署,扎实开展《优化营商环境条例》贯彻实施工作。一是组织集中学习,全面解读《优化营商环境条例》内容,结合本部门法定职责和各股室自身业务,逐条学习、深刻把握、切实做到以知促行、以行强知,学以致用。利用宣传页、电子屏、微信公众号广泛宣传《优化营商环境条例》，为民营经济健康发展营造良好法治氛围。会同有关部门,引导民营企业开展“诚信守法示范企业”创建活动,推动民营企业依法管理、诚信经营,完善现代企业治理机制。二是完善外来企业投诉处理工作机制,提升服务水平。利用“好差评”、“睢县评议”，切实履行外来企业投诉中心职责,健全外来企业常态化沟通机制,畅通外来企业诉求渠道,健全投诉调查处理工作机制,营造我县重商、亲商、安商的投资兴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u w:val="single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"/>
      </w:footnotePr>
      <w:pgSz w:w="11906" w:h="16838"/>
      <w:pgMar w:top="2211" w:right="1701" w:bottom="1928" w:left="170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5742305</wp:posOffset>
              </wp:positionH>
              <wp:positionV relativeFrom="page">
                <wp:posOffset>9577070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2.15pt;margin-top:754.1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kzcfEtoAAAAO&#10;AQAADwAAAGRycy9kb3ducmV2LnhtbE2PwU7DMBBE70j8g7VI3KidtJQmxKlERTgi0XDo0Y23SSC2&#10;I9tNw9+zPcFtd2c0+6bYzmZgE/rQOyshWQhgaBune9tK+Kyrhw2wEJXVanAWJfxggG15e1OoXLuL&#10;/cBpH1tGITbkSkIX45hzHpoOjQoLN6Il7eS8UZFW33Lt1YXCzcBTIdbcqN7Sh06NuOuw+d6fjYRd&#10;Vdd+wuCHA75Vy6/3lxW+zlLe3yXiGVjEOf6Z4YpP6FAS09GdrQ5skJCJ1ZKsJDyKTQrsakmylG5H&#10;mp6ydQq8LPj/GuUvUEsDBBQAAAAIAIdO4kDhgNOOMgIAAGEEAAAOAAAAZHJzL2Uyb0RvYy54bWyt&#10;VM2O0zAQviPxDpbvNGkrVlXVdFW2KkKq2JUK4uw6ThPJf7LdJuUB4A04ceHOc/U59nN+umjhsAcu&#10;ztgz/sbfNzNZ3DZKkpNwvjI6o+NRSonQ3OSVPmT086fNmxklPjCdM2m0yOhZeHq7fP1qUdu5mJjS&#10;yFw4AhDt57XNaBmCnSeJ56VQzI+MFRrOwjjFArbukOSO1UBXMpmk6U1SG5dbZ7jwHqfrzkl7RPcS&#10;QFMUFRdrw49K6NChOiFZACVfVtbTZfvaohA83BeFF4HIjIJpaFckgb2Pa7JcsPnBMVtWvH8Ce8kT&#10;nnFSrNJIeoVas8DI0VV/QamKO+NNEUbcqKQj0ioCFuP0mTa7klnRcoHU3l5F9/8Pln88PThS5Rmd&#10;UqKZQsEvP75ffv6+/PpGplGe2vo5onYWcaF5Zxo0zXDucRhZN4VT8Qs+BH6Ie76KK5pAeLw0m8xm&#10;KVwcvmED/OTpunU+vBdGkWhk1KF6rajstPWhCx1CYjZtNpWUbQWlJnVGb6Zv0/bC1QNwqZEjkuge&#10;G63Q7Jue2d7kZxBzpusMb/mmQvIt8+GBObQCHoxhCfdYCmmQxPQWJaVxX/91HuNRIXgpqdFaGdWY&#10;JErkB43KATAMhhuM/WDoo7oz6NUxhtDy1sQFF+RgFs6oL5igVcwBF9McmTIaBvMudO2NCeRitWqD&#10;jtZVh7K7gL6zLGz1zvKYJgrp7eoYIGarcRSoU6XXDZ3XVqmfktjaf+7bqKc/w/I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zcfEtoAAAAOAQAADwAAAAAAAAABACAAAAAiAAAAZHJzL2Rvd25yZXYu&#10;eG1sUEsBAhQAFAAAAAgAh07iQOGA044yAgAAYQQAAA4AAAAAAAAAAQAgAAAAK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/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</w:rPr>
                      <w:t>1</w:t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69" w:h="357" w:hRule="exact" w:wrap="around" w:vAnchor="page" w:hAnchor="margin" w:xAlign="outside" w:y="15083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rFonts w:hint="eastAsia" w:ascii="仿宋_GB2312" w:hAnsi="仿宋_GB2312" w:eastAsia="仿宋_GB2312" w:cs="仿宋_GB2312"/>
        <w:sz w:val="28"/>
      </w:rPr>
      <w:fldChar w:fldCharType="begin"/>
    </w:r>
    <w:r>
      <w:rPr>
        <w:rStyle w:val="8"/>
        <w:rFonts w:hint="eastAsia" w:ascii="仿宋_GB2312" w:hAnsi="仿宋_GB2312" w:eastAsia="仿宋_GB2312" w:cs="仿宋_GB2312"/>
        <w:sz w:val="28"/>
      </w:rPr>
      <w:instrText xml:space="preserve">PAGE  </w:instrText>
    </w:r>
    <w:r>
      <w:rPr>
        <w:rStyle w:val="8"/>
        <w:rFonts w:hint="eastAsia" w:ascii="仿宋_GB2312" w:hAnsi="仿宋_GB2312" w:eastAsia="仿宋_GB2312" w:cs="仿宋_GB2312"/>
        <w:sz w:val="28"/>
      </w:rPr>
      <w:fldChar w:fldCharType="separate"/>
    </w:r>
    <w:r>
      <w:rPr>
        <w:rStyle w:val="8"/>
        <w:rFonts w:hint="eastAsia" w:ascii="仿宋_GB2312" w:hAnsi="仿宋_GB2312" w:eastAsia="仿宋_GB2312" w:cs="仿宋_GB2312"/>
        <w:sz w:val="28"/>
      </w:rPr>
      <w:t>2</w:t>
    </w:r>
    <w:r>
      <w:rPr>
        <w:rStyle w:val="8"/>
        <w:rFonts w:hint="eastAsia" w:ascii="仿宋_GB2312" w:hAnsi="仿宋_GB2312" w:eastAsia="仿宋_GB2312" w:cs="仿宋_GB2312"/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86364"/>
    <w:multiLevelType w:val="singleLevel"/>
    <w:tmpl w:val="5EC8636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TVkOWViZWZiYTU0NTlmZDQwM2FkOWZmZmYzMTYifQ=="/>
  </w:docVars>
  <w:rsids>
    <w:rsidRoot w:val="17D33571"/>
    <w:rsid w:val="00BD1F63"/>
    <w:rsid w:val="03130BBF"/>
    <w:rsid w:val="061A6FC8"/>
    <w:rsid w:val="0A5F1764"/>
    <w:rsid w:val="0C7A1F1D"/>
    <w:rsid w:val="0F533008"/>
    <w:rsid w:val="10CE06E6"/>
    <w:rsid w:val="13A5745A"/>
    <w:rsid w:val="14345A1D"/>
    <w:rsid w:val="151B245D"/>
    <w:rsid w:val="1606587B"/>
    <w:rsid w:val="17D33571"/>
    <w:rsid w:val="1B067216"/>
    <w:rsid w:val="1D8A170E"/>
    <w:rsid w:val="1DE26440"/>
    <w:rsid w:val="1FE24176"/>
    <w:rsid w:val="21776DED"/>
    <w:rsid w:val="22486597"/>
    <w:rsid w:val="22DD5D77"/>
    <w:rsid w:val="298E7333"/>
    <w:rsid w:val="2B7934CD"/>
    <w:rsid w:val="2BFB23F1"/>
    <w:rsid w:val="31C83933"/>
    <w:rsid w:val="349D6FA9"/>
    <w:rsid w:val="359E0B52"/>
    <w:rsid w:val="37262E73"/>
    <w:rsid w:val="38B56348"/>
    <w:rsid w:val="391D758A"/>
    <w:rsid w:val="3A633250"/>
    <w:rsid w:val="42C941A3"/>
    <w:rsid w:val="4DCB1639"/>
    <w:rsid w:val="5006265F"/>
    <w:rsid w:val="5A7B0CF3"/>
    <w:rsid w:val="601D605E"/>
    <w:rsid w:val="69CF3530"/>
    <w:rsid w:val="6B1C355A"/>
    <w:rsid w:val="6F890082"/>
    <w:rsid w:val="72B15B3A"/>
    <w:rsid w:val="76AD0392"/>
    <w:rsid w:val="76B43BF0"/>
    <w:rsid w:val="77FB28DE"/>
    <w:rsid w:val="790E064F"/>
    <w:rsid w:val="79572C25"/>
    <w:rsid w:val="7A717AEA"/>
    <w:rsid w:val="7C014493"/>
    <w:rsid w:val="7CA655F3"/>
    <w:rsid w:val="7E584B82"/>
    <w:rsid w:val="7F217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1518</Words>
  <Characters>1536</Characters>
  <Lines>0</Lines>
  <Paragraphs>0</Paragraphs>
  <TotalTime>287</TotalTime>
  <ScaleCrop>false</ScaleCrop>
  <LinksUpToDate>false</LinksUpToDate>
  <CharactersWithSpaces>1536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2019-10-09T03:48:00Z</dcterms:created>
  <dc:creator>大智若愚</dc:creator>
  <cp:lastModifiedBy>Administrator</cp:lastModifiedBy>
  <cp:lastPrinted>2022-07-06T01:00:00Z</cp:lastPrinted>
  <dcterms:modified xsi:type="dcterms:W3CDTF">2022-12-07T03:23:54Z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1B9C7256EE2547CFA3E1016751CFACFB</vt:lpwstr>
  </property>
</Properties>
</file>