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0D" w:rsidRDefault="0010408D">
      <w:pPr>
        <w:pStyle w:val="a6"/>
        <w:spacing w:line="560" w:lineRule="exact"/>
        <w:jc w:val="center"/>
        <w:rPr>
          <w:rFonts w:ascii="方正小标宋简体" w:eastAsia="方正小标宋简体" w:hAnsi="仿宋" w:cs="方正小标宋简体" w:hint="eastAsia"/>
          <w:bCs/>
          <w:sz w:val="44"/>
          <w:szCs w:val="44"/>
        </w:rPr>
      </w:pPr>
      <w:r>
        <w:rPr>
          <w:rFonts w:ascii="方正小标宋简体" w:eastAsia="方正小标宋简体" w:hAnsi="仿宋" w:cs="方正小标宋简体" w:hint="eastAsia"/>
          <w:bCs/>
          <w:sz w:val="44"/>
          <w:szCs w:val="44"/>
        </w:rPr>
        <w:t>国家税务总局睢县税务局</w:t>
      </w:r>
      <w:r w:rsidR="0061685F">
        <w:rPr>
          <w:rFonts w:ascii="方正小标宋简体" w:eastAsia="方正小标宋简体" w:hAnsi="仿宋" w:cs="方正小标宋简体" w:hint="eastAsia"/>
          <w:bCs/>
          <w:sz w:val="44"/>
          <w:szCs w:val="44"/>
        </w:rPr>
        <w:t>报送</w:t>
      </w:r>
    </w:p>
    <w:p w:rsidR="00C56DC0" w:rsidRDefault="0061685F" w:rsidP="0061685F">
      <w:pPr>
        <w:pStyle w:val="a6"/>
        <w:spacing w:line="560" w:lineRule="exact"/>
        <w:jc w:val="center"/>
        <w:rPr>
          <w:rFonts w:ascii="仿宋" w:eastAsia="仿宋" w:hAnsi="仿宋" w:cs="方正小标宋简体"/>
          <w:sz w:val="32"/>
          <w:szCs w:val="32"/>
        </w:rPr>
      </w:pPr>
      <w:r w:rsidRPr="0061685F">
        <w:rPr>
          <w:rFonts w:ascii="方正小标宋简体" w:eastAsia="方正小标宋简体" w:hAnsi="仿宋" w:cs="方正小标宋简体" w:hint="eastAsia"/>
          <w:bCs/>
          <w:sz w:val="44"/>
          <w:szCs w:val="44"/>
        </w:rPr>
        <w:t>202</w:t>
      </w:r>
      <w:r>
        <w:rPr>
          <w:rFonts w:ascii="方正小标宋简体" w:eastAsia="方正小标宋简体" w:hAnsi="仿宋" w:cs="方正小标宋简体" w:hint="eastAsia"/>
          <w:bCs/>
          <w:sz w:val="44"/>
          <w:szCs w:val="44"/>
        </w:rPr>
        <w:t>2</w:t>
      </w:r>
      <w:r w:rsidRPr="0061685F">
        <w:rPr>
          <w:rFonts w:ascii="方正小标宋简体" w:eastAsia="方正小标宋简体" w:hAnsi="仿宋" w:cs="方正小标宋简体" w:hint="eastAsia"/>
          <w:bCs/>
          <w:sz w:val="44"/>
          <w:szCs w:val="44"/>
        </w:rPr>
        <w:t>年度法治政府建设情况的报告</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sz w:val="32"/>
          <w:szCs w:val="32"/>
        </w:rPr>
        <w:t xml:space="preserve">    202</w:t>
      </w:r>
      <w:r w:rsidR="0061685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9C690D">
        <w:rPr>
          <w:rFonts w:ascii="仿宋_GB2312" w:eastAsia="仿宋_GB2312" w:hAnsi="仿宋_GB2312" w:cs="仿宋_GB2312" w:hint="eastAsia"/>
          <w:sz w:val="32"/>
          <w:szCs w:val="32"/>
        </w:rPr>
        <w:t>以来</w:t>
      </w:r>
      <w:r>
        <w:rPr>
          <w:rFonts w:ascii="仿宋_GB2312" w:eastAsia="仿宋_GB2312" w:hAnsi="仿宋_GB2312" w:cs="仿宋_GB2312" w:hint="eastAsia"/>
          <w:sz w:val="32"/>
          <w:szCs w:val="32"/>
        </w:rPr>
        <w:t>，国家税务总局睢县税务局围绕总局“十四五”依法治税规划部署的十项工作内容，</w:t>
      </w:r>
      <w:r w:rsidR="009C690D">
        <w:rPr>
          <w:rFonts w:ascii="仿宋_GB2312" w:eastAsia="仿宋_GB2312" w:hAnsi="仿宋_GB2312" w:cs="仿宋_GB2312" w:hint="eastAsia"/>
          <w:sz w:val="32"/>
          <w:szCs w:val="32"/>
        </w:rPr>
        <w:t>全面实施“基层服务型行政执法提升五年行动” ，</w:t>
      </w:r>
      <w:r>
        <w:rPr>
          <w:rFonts w:ascii="仿宋_GB2312" w:eastAsia="仿宋_GB2312" w:hAnsi="仿宋_GB2312" w:cs="仿宋_GB2312" w:hint="eastAsia"/>
          <w:sz w:val="32"/>
          <w:szCs w:val="32"/>
        </w:rPr>
        <w:t>全面推进税收法治建设，坚持依法决策，规范税收执法行为，严格执行各项税收政策，依法治税水平得到有效提升。</w:t>
      </w:r>
      <w:bookmarkStart w:id="0" w:name="_GoBack"/>
      <w:bookmarkEnd w:id="0"/>
    </w:p>
    <w:p w:rsidR="0061685F" w:rsidRDefault="00634574">
      <w:pPr>
        <w:pStyle w:val="a6"/>
        <w:spacing w:line="560" w:lineRule="exact"/>
        <w:rPr>
          <w:rFonts w:ascii="楷体_GB2312" w:eastAsia="楷体_GB2312" w:hAnsi="楷体_GB2312" w:cs="楷体_GB2312" w:hint="eastAsia"/>
          <w:bCs/>
          <w:sz w:val="32"/>
          <w:szCs w:val="32"/>
        </w:rPr>
      </w:pPr>
      <w:r>
        <w:rPr>
          <w:rFonts w:ascii="黑体" w:eastAsia="黑体" w:hAnsi="黑体" w:cs="方正小标宋简体" w:hint="eastAsia"/>
          <w:sz w:val="32"/>
          <w:szCs w:val="32"/>
        </w:rPr>
        <w:t xml:space="preserve">    </w:t>
      </w:r>
      <w:r w:rsidR="0010408D">
        <w:rPr>
          <w:rFonts w:ascii="黑体" w:eastAsia="黑体" w:hAnsi="黑体" w:cs="方正小标宋简体" w:hint="eastAsia"/>
          <w:sz w:val="32"/>
          <w:szCs w:val="32"/>
        </w:rPr>
        <w:t>一、</w:t>
      </w:r>
      <w:r w:rsidR="0061685F" w:rsidRPr="0061685F">
        <w:rPr>
          <w:rFonts w:ascii="黑体" w:eastAsia="黑体" w:hAnsi="黑体" w:cs="方正小标宋简体" w:hint="eastAsia"/>
          <w:sz w:val="32"/>
          <w:szCs w:val="32"/>
        </w:rPr>
        <w:t>全面推进法治政府建设情况</w:t>
      </w:r>
      <w:r>
        <w:rPr>
          <w:rFonts w:ascii="楷体_GB2312" w:eastAsia="楷体_GB2312" w:hAnsi="楷体_GB2312" w:cs="楷体_GB2312" w:hint="eastAsia"/>
          <w:bCs/>
          <w:sz w:val="32"/>
          <w:szCs w:val="32"/>
        </w:rPr>
        <w:t xml:space="preserve">    </w:t>
      </w:r>
    </w:p>
    <w:p w:rsidR="00C56DC0" w:rsidRDefault="0061685F">
      <w:pPr>
        <w:pStyle w:val="a6"/>
        <w:spacing w:line="560" w:lineRule="exact"/>
        <w:rPr>
          <w:rFonts w:ascii="楷体_GB2312" w:eastAsia="楷体_GB2312" w:hAnsi="楷体_GB2312" w:cs="楷体_GB2312"/>
          <w:b/>
          <w:sz w:val="32"/>
          <w:szCs w:val="32"/>
        </w:rPr>
      </w:pPr>
      <w:r>
        <w:rPr>
          <w:rFonts w:ascii="楷体_GB2312" w:eastAsia="楷体_GB2312" w:hAnsi="楷体_GB2312" w:cs="楷体_GB2312" w:hint="eastAsia"/>
          <w:bCs/>
          <w:sz w:val="32"/>
          <w:szCs w:val="32"/>
        </w:rPr>
        <w:t xml:space="preserve">  </w:t>
      </w:r>
      <w:r w:rsidR="0010408D">
        <w:rPr>
          <w:rFonts w:ascii="楷体_GB2312" w:eastAsia="楷体_GB2312" w:hAnsi="楷体_GB2312" w:cs="楷体_GB2312" w:hint="eastAsia"/>
          <w:bCs/>
          <w:sz w:val="32"/>
          <w:szCs w:val="32"/>
        </w:rPr>
        <w:t>（一）深入学习贯彻习近平法治思想</w:t>
      </w:r>
    </w:p>
    <w:p w:rsidR="00C56DC0" w:rsidRDefault="00634574">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0408D">
        <w:rPr>
          <w:rFonts w:ascii="仿宋_GB2312" w:eastAsia="仿宋_GB2312" w:hAnsi="仿宋_GB2312" w:cs="仿宋_GB2312" w:hint="eastAsia"/>
          <w:sz w:val="32"/>
          <w:szCs w:val="32"/>
        </w:rPr>
        <w:t>学习贯彻习近平法治思想，将其列为县税务局党委会议题，每月召开党委理论中心组集中学习，推动法治思想学习往深里走、往实里走、往心里走。组织青年干部开展依法治国、依宪治国专题学习，引导干部及时转变税收治理理念和服务观念。</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1.开展普法宣传，传播法治力量。以国家宪法日为契机，深入开展宪法和习近平法治思想宣传教育活动。大力开展“非接触式”普法，营造浓厚法治宣传氛围。</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举办特色活动，增强法治尊崇。结合工作实际，提高学法热情、精进执法水平，坚决做习近平法治思想的自觉遵守者、坚定捍卫者。举行宪法宣誓仪式，用心体悟忠诚担当、崇法守纪、兴税强国的税务精神。组织开展法治宣传进企业活动，提升企业尊法、知法、守法、用法意识。</w:t>
      </w:r>
    </w:p>
    <w:p w:rsidR="00C56DC0" w:rsidRDefault="0049383D">
      <w:pPr>
        <w:pStyle w:val="a6"/>
        <w:spacing w:line="560" w:lineRule="exact"/>
        <w:rPr>
          <w:rFonts w:ascii="楷体" w:eastAsia="楷体" w:hAnsi="楷体" w:cs="方正小标宋简体"/>
          <w:b/>
          <w:sz w:val="32"/>
          <w:szCs w:val="32"/>
        </w:rPr>
      </w:pPr>
      <w:r>
        <w:rPr>
          <w:rFonts w:ascii="楷体_GB2312" w:eastAsia="楷体_GB2312" w:hAnsi="楷体_GB2312" w:cs="楷体_GB2312" w:hint="eastAsia"/>
          <w:sz w:val="32"/>
          <w:szCs w:val="32"/>
        </w:rPr>
        <w:t xml:space="preserve">    </w:t>
      </w:r>
      <w:r w:rsidR="0010408D">
        <w:rPr>
          <w:rFonts w:ascii="楷体_GB2312" w:eastAsia="楷体_GB2312" w:hAnsi="楷体_GB2312" w:cs="楷体_GB2312" w:hint="eastAsia"/>
          <w:sz w:val="32"/>
          <w:szCs w:val="32"/>
        </w:rPr>
        <w:t>（二）健全政府机构职能体系，依法全面履行税收工作职能</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sidR="0010408D">
        <w:rPr>
          <w:rFonts w:ascii="仿宋_GB2312" w:eastAsia="仿宋_GB2312" w:hAnsi="仿宋_GB2312" w:cs="仿宋_GB2312" w:hint="eastAsia"/>
          <w:bCs/>
          <w:sz w:val="32"/>
          <w:szCs w:val="32"/>
        </w:rPr>
        <w:t>1.严格依法征税。积极向党委政府汇报，合理调整收入预算。坚持组织收入原则，坚决不收“过头税”，坚决遏制提前征收、延缓征收、摊派税款、越权减免税等违法违规行为，坚决制止提前征收入库等行为。</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bCs/>
          <w:sz w:val="32"/>
          <w:szCs w:val="32"/>
        </w:rPr>
        <w:t xml:space="preserve">    2.减税降费政策落地见效。按照“简化税费优惠政策适用程序”的要求，做到税收优惠政策精准定位、智能推送，努力为纳税人缴费人提供更加精准、便捷的税费优惠政策服务。建立减税降费长效工作机制，统筹部门职能，明确工作责任，落实好“一揽子统筹”“一竿子到底”“责任连带、任务包干”“精准辅导、精准推送”等务实管用的制度措施，确保各项税费优惠政策落地见效。</w:t>
      </w:r>
      <w:r w:rsidR="00CD7870">
        <w:rPr>
          <w:rFonts w:ascii="仿宋_GB2312" w:eastAsia="仿宋_GB2312" w:hAnsi="仿宋_GB2312" w:cs="仿宋_GB2312" w:hint="eastAsia"/>
          <w:bCs/>
          <w:sz w:val="32"/>
          <w:szCs w:val="32"/>
        </w:rPr>
        <w:t>落实</w:t>
      </w:r>
      <w:r>
        <w:rPr>
          <w:rFonts w:ascii="仿宋_GB2312" w:eastAsia="仿宋_GB2312" w:hAnsi="仿宋_GB2312" w:cs="仿宋_GB2312" w:hint="eastAsia"/>
          <w:bCs/>
          <w:sz w:val="32"/>
          <w:szCs w:val="32"/>
        </w:rPr>
        <w:t>纳税人</w:t>
      </w:r>
      <w:r w:rsidR="0061685F">
        <w:rPr>
          <w:rFonts w:ascii="仿宋_GB2312" w:eastAsia="仿宋_GB2312" w:hAnsi="仿宋_GB2312" w:cs="仿宋_GB2312" w:hint="eastAsia"/>
          <w:bCs/>
          <w:sz w:val="32"/>
          <w:szCs w:val="32"/>
        </w:rPr>
        <w:t>留抵退税政策</w:t>
      </w:r>
      <w:r>
        <w:rPr>
          <w:rFonts w:ascii="仿宋_GB2312" w:eastAsia="仿宋_GB2312" w:hAnsi="仿宋_GB2312" w:cs="仿宋_GB2312" w:hint="eastAsia"/>
          <w:bCs/>
          <w:sz w:val="32"/>
          <w:szCs w:val="32"/>
        </w:rPr>
        <w:t>、</w:t>
      </w:r>
      <w:r w:rsidR="0061685F">
        <w:rPr>
          <w:rFonts w:ascii="仿宋_GB2312" w:eastAsia="仿宋_GB2312" w:hAnsi="仿宋_GB2312" w:cs="仿宋_GB2312" w:hint="eastAsia"/>
          <w:bCs/>
          <w:sz w:val="32"/>
          <w:szCs w:val="32"/>
        </w:rPr>
        <w:t>小规模纳税人</w:t>
      </w:r>
      <w:r>
        <w:rPr>
          <w:rFonts w:ascii="仿宋_GB2312" w:eastAsia="仿宋_GB2312" w:hAnsi="仿宋_GB2312" w:cs="仿宋_GB2312" w:hint="eastAsia"/>
          <w:bCs/>
          <w:sz w:val="32"/>
          <w:szCs w:val="32"/>
        </w:rPr>
        <w:t>免征增值税政策</w:t>
      </w:r>
      <w:r w:rsidR="0061685F">
        <w:rPr>
          <w:rFonts w:ascii="仿宋_GB2312" w:eastAsia="仿宋_GB2312" w:hAnsi="仿宋_GB2312" w:cs="仿宋_GB2312" w:hint="eastAsia"/>
          <w:bCs/>
          <w:sz w:val="32"/>
          <w:szCs w:val="32"/>
        </w:rPr>
        <w:t>等组合式税费优惠政策</w:t>
      </w:r>
      <w:r>
        <w:rPr>
          <w:rFonts w:ascii="仿宋_GB2312" w:eastAsia="仿宋_GB2312" w:hAnsi="仿宋_GB2312" w:cs="仿宋_GB2312" w:hint="eastAsia"/>
          <w:bCs/>
          <w:sz w:val="32"/>
          <w:szCs w:val="32"/>
        </w:rPr>
        <w:t>。</w:t>
      </w:r>
    </w:p>
    <w:p w:rsidR="00C56DC0" w:rsidRDefault="0049383D">
      <w:pPr>
        <w:pStyle w:val="a6"/>
        <w:spacing w:line="560" w:lineRule="exact"/>
        <w:rPr>
          <w:rFonts w:ascii="楷体" w:eastAsia="楷体" w:hAnsi="楷体" w:cs="方正小标宋简体"/>
          <w:bCs/>
          <w:sz w:val="32"/>
          <w:szCs w:val="32"/>
        </w:rPr>
      </w:pPr>
      <w:r>
        <w:rPr>
          <w:rFonts w:ascii="楷体_GB2312" w:eastAsia="楷体_GB2312" w:hAnsi="楷体_GB2312" w:cs="楷体_GB2312" w:hint="eastAsia"/>
          <w:bCs/>
          <w:sz w:val="32"/>
          <w:szCs w:val="32"/>
        </w:rPr>
        <w:t xml:space="preserve">    </w:t>
      </w:r>
      <w:r w:rsidR="0010408D">
        <w:rPr>
          <w:rFonts w:ascii="楷体_GB2312" w:eastAsia="楷体_GB2312" w:hAnsi="楷体_GB2312" w:cs="楷体_GB2312" w:hint="eastAsia"/>
          <w:bCs/>
          <w:sz w:val="32"/>
          <w:szCs w:val="32"/>
        </w:rPr>
        <w:t>（三）健全依法行政制度体系，不断提高税收制度建设质量</w:t>
      </w:r>
    </w:p>
    <w:p w:rsidR="00C56DC0" w:rsidRDefault="0049383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0408D">
        <w:rPr>
          <w:rFonts w:ascii="仿宋_GB2312" w:eastAsia="仿宋_GB2312" w:hAnsi="仿宋_GB2312" w:cs="仿宋_GB2312" w:hint="eastAsia"/>
          <w:sz w:val="32"/>
          <w:szCs w:val="32"/>
        </w:rPr>
        <w:t>1.健全和落实日常清理和集中清理机制。</w:t>
      </w:r>
      <w:r w:rsidR="0010408D">
        <w:rPr>
          <w:rFonts w:ascii="仿宋_GB2312" w:eastAsia="仿宋_GB2312" w:hAnsi="仿宋_GB2312" w:cs="仿宋_GB2312" w:hint="eastAsia"/>
          <w:snapToGrid w:val="0"/>
          <w:color w:val="000000"/>
          <w:kern w:val="0"/>
          <w:sz w:val="32"/>
          <w:szCs w:val="32"/>
        </w:rPr>
        <w:t>一是</w:t>
      </w:r>
      <w:r w:rsidR="0010408D">
        <w:rPr>
          <w:rFonts w:ascii="仿宋_GB2312" w:eastAsia="仿宋_GB2312" w:hAnsi="仿宋_GB2312" w:cs="仿宋_GB2312" w:hint="eastAsia"/>
          <w:color w:val="000000"/>
          <w:kern w:val="0"/>
          <w:sz w:val="32"/>
          <w:szCs w:val="32"/>
        </w:rPr>
        <w:t>严格按照省</w:t>
      </w:r>
      <w:r w:rsidR="009C690D">
        <w:rPr>
          <w:rFonts w:ascii="仿宋_GB2312" w:eastAsia="仿宋_GB2312" w:hAnsi="仿宋_GB2312" w:cs="仿宋_GB2312" w:hint="eastAsia"/>
          <w:color w:val="000000"/>
          <w:kern w:val="0"/>
          <w:sz w:val="32"/>
          <w:szCs w:val="32"/>
        </w:rPr>
        <w:t>税务</w:t>
      </w:r>
      <w:r w:rsidR="0010408D">
        <w:rPr>
          <w:rFonts w:ascii="仿宋_GB2312" w:eastAsia="仿宋_GB2312" w:hAnsi="仿宋_GB2312" w:cs="仿宋_GB2312" w:hint="eastAsia"/>
          <w:color w:val="000000"/>
          <w:kern w:val="0"/>
          <w:sz w:val="32"/>
          <w:szCs w:val="32"/>
        </w:rPr>
        <w:t>局、市</w:t>
      </w:r>
      <w:r w:rsidR="009C690D">
        <w:rPr>
          <w:rFonts w:ascii="仿宋_GB2312" w:eastAsia="仿宋_GB2312" w:hAnsi="仿宋_GB2312" w:cs="仿宋_GB2312" w:hint="eastAsia"/>
          <w:color w:val="000000"/>
          <w:kern w:val="0"/>
          <w:sz w:val="32"/>
          <w:szCs w:val="32"/>
        </w:rPr>
        <w:t>税务</w:t>
      </w:r>
      <w:r w:rsidR="0010408D">
        <w:rPr>
          <w:rFonts w:ascii="仿宋_GB2312" w:eastAsia="仿宋_GB2312" w:hAnsi="仿宋_GB2312" w:cs="仿宋_GB2312" w:hint="eastAsia"/>
          <w:color w:val="000000"/>
          <w:kern w:val="0"/>
          <w:sz w:val="32"/>
          <w:szCs w:val="32"/>
        </w:rPr>
        <w:t>局</w:t>
      </w:r>
      <w:r w:rsidR="009C690D">
        <w:rPr>
          <w:rFonts w:ascii="仿宋_GB2312" w:eastAsia="仿宋_GB2312" w:hAnsi="仿宋_GB2312" w:cs="仿宋_GB2312" w:hint="eastAsia"/>
          <w:color w:val="000000"/>
          <w:kern w:val="0"/>
          <w:sz w:val="32"/>
          <w:szCs w:val="32"/>
        </w:rPr>
        <w:t>和县司法局</w:t>
      </w:r>
      <w:r w:rsidR="0010408D">
        <w:rPr>
          <w:rFonts w:ascii="仿宋_GB2312" w:eastAsia="仿宋_GB2312" w:hAnsi="仿宋_GB2312" w:cs="仿宋_GB2312" w:hint="eastAsia"/>
          <w:color w:val="000000"/>
          <w:kern w:val="0"/>
          <w:sz w:val="32"/>
          <w:szCs w:val="32"/>
        </w:rPr>
        <w:t>规定的清理范围、清理重点、清理方式，认真开展202</w:t>
      </w:r>
      <w:r w:rsidR="001B7A81">
        <w:rPr>
          <w:rFonts w:ascii="仿宋_GB2312" w:eastAsia="仿宋_GB2312" w:hAnsi="仿宋_GB2312" w:cs="仿宋_GB2312" w:hint="eastAsia"/>
          <w:color w:val="000000"/>
          <w:kern w:val="0"/>
          <w:sz w:val="32"/>
          <w:szCs w:val="32"/>
        </w:rPr>
        <w:t>2</w:t>
      </w:r>
      <w:r w:rsidR="0010408D">
        <w:rPr>
          <w:rFonts w:ascii="仿宋_GB2312" w:eastAsia="仿宋_GB2312" w:hAnsi="仿宋_GB2312" w:cs="仿宋_GB2312" w:hint="eastAsia"/>
          <w:color w:val="000000"/>
          <w:kern w:val="0"/>
          <w:sz w:val="32"/>
          <w:szCs w:val="32"/>
        </w:rPr>
        <w:t>年以来对</w:t>
      </w:r>
      <w:r w:rsidR="0010408D">
        <w:rPr>
          <w:rFonts w:ascii="仿宋_GB2312" w:eastAsia="仿宋_GB2312" w:hAnsi="仿宋_GB2312" w:cs="仿宋_GB2312" w:hint="eastAsia"/>
          <w:snapToGrid w:val="0"/>
          <w:color w:val="000000"/>
          <w:kern w:val="0"/>
          <w:sz w:val="32"/>
          <w:szCs w:val="32"/>
        </w:rPr>
        <w:t>妨碍统一市场和公平竞争的行政规范性文件和其他政策措施</w:t>
      </w:r>
      <w:r w:rsidR="0010408D">
        <w:rPr>
          <w:rFonts w:ascii="仿宋_GB2312" w:eastAsia="仿宋_GB2312" w:hAnsi="仿宋_GB2312" w:cs="仿宋_GB2312" w:hint="eastAsia"/>
          <w:color w:val="000000"/>
          <w:kern w:val="0"/>
          <w:sz w:val="32"/>
          <w:szCs w:val="32"/>
        </w:rPr>
        <w:t>的清理。二是</w:t>
      </w:r>
      <w:r w:rsidR="0010408D">
        <w:rPr>
          <w:rFonts w:ascii="仿宋_GB2312" w:eastAsia="仿宋_GB2312" w:hAnsi="仿宋_GB2312" w:cs="仿宋_GB2312" w:hint="eastAsia"/>
          <w:snapToGrid w:val="0"/>
          <w:color w:val="000000"/>
          <w:kern w:val="0"/>
          <w:sz w:val="32"/>
          <w:szCs w:val="32"/>
        </w:rPr>
        <w:t>按照“谁制定、谁清理”的原则，各业务主管科室具体负责各自职责范围内文件清理工作的组织实施，指定专人负责清理工作。</w:t>
      </w:r>
      <w:r w:rsidR="0010408D">
        <w:rPr>
          <w:rFonts w:ascii="仿宋_GB2312" w:eastAsia="仿宋_GB2312" w:hAnsi="仿宋_GB2312" w:cs="仿宋_GB2312" w:hint="eastAsia"/>
          <w:sz w:val="32"/>
          <w:szCs w:val="32"/>
        </w:rPr>
        <w:t>202</w:t>
      </w:r>
      <w:r w:rsidR="001B7A81">
        <w:rPr>
          <w:rFonts w:ascii="仿宋_GB2312" w:eastAsia="仿宋_GB2312" w:hAnsi="仿宋_GB2312" w:cs="仿宋_GB2312" w:hint="eastAsia"/>
          <w:sz w:val="32"/>
          <w:szCs w:val="32"/>
        </w:rPr>
        <w:t>2</w:t>
      </w:r>
      <w:r w:rsidR="0010408D">
        <w:rPr>
          <w:rFonts w:ascii="仿宋_GB2312" w:eastAsia="仿宋_GB2312" w:hAnsi="仿宋_GB2312" w:cs="仿宋_GB2312" w:hint="eastAsia"/>
          <w:sz w:val="32"/>
          <w:szCs w:val="32"/>
        </w:rPr>
        <w:t xml:space="preserve">年度，组织对现行税收规范性文件清理2次，制定税收规范性文件0件，废止或修改税收规范性文件0件，清理结果及时向社会公布。 </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sz w:val="32"/>
          <w:szCs w:val="32"/>
        </w:rPr>
        <w:t xml:space="preserve">    2.加强合法性审查。开展</w:t>
      </w:r>
      <w:r>
        <w:rPr>
          <w:rFonts w:ascii="仿宋_GB2312" w:eastAsia="仿宋_GB2312" w:hAnsi="仿宋_GB2312" w:cs="仿宋_GB2312" w:hint="eastAsia"/>
          <w:color w:val="000000"/>
          <w:kern w:val="0"/>
          <w:sz w:val="32"/>
          <w:szCs w:val="32"/>
        </w:rPr>
        <w:t>行政规范性文件合法性审核，重点</w:t>
      </w:r>
      <w:r>
        <w:rPr>
          <w:rFonts w:ascii="仿宋_GB2312" w:eastAsia="仿宋_GB2312" w:hAnsi="仿宋_GB2312" w:cs="仿宋_GB2312" w:hint="eastAsia"/>
          <w:color w:val="000000"/>
          <w:kern w:val="0"/>
          <w:sz w:val="32"/>
          <w:szCs w:val="32"/>
        </w:rPr>
        <w:lastRenderedPageBreak/>
        <w:t>对文件的制定主体、程序和有关内容等是否符合法律法规规章和国家政策的规定，及时进行合法性审核。</w:t>
      </w:r>
      <w:r>
        <w:rPr>
          <w:rFonts w:ascii="仿宋_GB2312" w:eastAsia="仿宋_GB2312" w:hAnsi="仿宋_GB2312" w:cs="仿宋_GB2312" w:hint="eastAsia"/>
          <w:sz w:val="32"/>
          <w:szCs w:val="32"/>
        </w:rPr>
        <w:t>建立税务机关内部重大决策合法性审查机制，做到决定重大事项前听取法律顾问、公职律师法律意见。全年开展合法性审查3次。</w:t>
      </w:r>
    </w:p>
    <w:p w:rsidR="00C56DC0" w:rsidRDefault="0049383D">
      <w:pPr>
        <w:pStyle w:val="a6"/>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w:t>
      </w:r>
      <w:r w:rsidR="0010408D">
        <w:rPr>
          <w:rFonts w:ascii="楷体_GB2312" w:eastAsia="楷体_GB2312" w:hAnsi="楷体_GB2312" w:cs="楷体_GB2312" w:hint="eastAsia"/>
          <w:bCs/>
          <w:sz w:val="32"/>
          <w:szCs w:val="32"/>
        </w:rPr>
        <w:t>（四）健全行政决策制度体系，持续推进依法科学民主决策</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1.树立依法决策意识。严格遵循法定权限和程序作出决策，确保决策内容符合法律法规规定。作出重大决策前，应当听取合法性审查机构的意见，注重听取法律顾问、公职律师或者有关专家的意见。</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bCs/>
          <w:sz w:val="32"/>
          <w:szCs w:val="32"/>
        </w:rPr>
        <w:t xml:space="preserve">    2.落实集体民主决策。制定并落实税务机关党委工作规则，完善议事决策程序，明确党委委员分工责任。严格履行行政主体责任，落实民主集中制议事规则，做到科学决策、民主决策、依法决策。</w:t>
      </w:r>
    </w:p>
    <w:p w:rsidR="00C56DC0" w:rsidRDefault="0049383D">
      <w:pPr>
        <w:pStyle w:val="a6"/>
        <w:spacing w:line="560" w:lineRule="exact"/>
        <w:rPr>
          <w:rFonts w:ascii="楷体" w:eastAsia="楷体" w:hAnsi="楷体" w:cs="方正小标宋简体"/>
          <w:bCs/>
          <w:sz w:val="32"/>
          <w:szCs w:val="32"/>
        </w:rPr>
      </w:pPr>
      <w:r>
        <w:rPr>
          <w:rFonts w:ascii="楷体_GB2312" w:eastAsia="楷体_GB2312" w:hAnsi="楷体_GB2312" w:cs="楷体_GB2312" w:hint="eastAsia"/>
          <w:bCs/>
          <w:sz w:val="32"/>
          <w:szCs w:val="32"/>
        </w:rPr>
        <w:t xml:space="preserve">    </w:t>
      </w:r>
      <w:r w:rsidR="0010408D">
        <w:rPr>
          <w:rFonts w:ascii="楷体_GB2312" w:eastAsia="楷体_GB2312" w:hAnsi="楷体_GB2312" w:cs="楷体_GB2312" w:hint="eastAsia"/>
          <w:bCs/>
          <w:sz w:val="32"/>
          <w:szCs w:val="32"/>
        </w:rPr>
        <w:t>（五）健全行政执法工作体系，坚持严格规范公正文明执法</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1.深入推进服务型执法。以党的十九</w:t>
      </w:r>
      <w:r w:rsidR="001B7A81">
        <w:rPr>
          <w:rFonts w:ascii="仿宋_GB2312" w:eastAsia="仿宋_GB2312" w:hAnsi="仿宋_GB2312" w:cs="仿宋_GB2312" w:hint="eastAsia"/>
          <w:bCs/>
          <w:sz w:val="32"/>
          <w:szCs w:val="32"/>
        </w:rPr>
        <w:t>届六中全会</w:t>
      </w:r>
      <w:r w:rsidR="0010408D">
        <w:rPr>
          <w:rFonts w:ascii="仿宋_GB2312" w:eastAsia="仿宋_GB2312" w:hAnsi="仿宋_GB2312" w:cs="仿宋_GB2312" w:hint="eastAsia"/>
          <w:bCs/>
          <w:sz w:val="32"/>
          <w:szCs w:val="32"/>
        </w:rPr>
        <w:t>精神</w:t>
      </w:r>
      <w:r w:rsidR="001B7A81">
        <w:rPr>
          <w:rFonts w:ascii="仿宋_GB2312" w:eastAsia="仿宋_GB2312" w:hAnsi="仿宋_GB2312" w:cs="仿宋_GB2312" w:hint="eastAsia"/>
          <w:bCs/>
          <w:sz w:val="32"/>
          <w:szCs w:val="32"/>
        </w:rPr>
        <w:t>和党的二十大精神</w:t>
      </w:r>
      <w:r w:rsidR="0010408D">
        <w:rPr>
          <w:rFonts w:ascii="仿宋_GB2312" w:eastAsia="仿宋_GB2312" w:hAnsi="仿宋_GB2312" w:cs="仿宋_GB2312" w:hint="eastAsia"/>
          <w:bCs/>
          <w:sz w:val="32"/>
          <w:szCs w:val="32"/>
        </w:rPr>
        <w:t>为指导，强化服务型行政执法建设，开展多元化纳税服务。一是成立服务型执法建设领导小组，制定实施方案，统筹部署服务型行政执法建设工作。二是严格贯彻落实国务院、总局分期分批取消和下放的审批事项清单，对取消非行政许可审批事项，不以任何形式保留或者搞变相审批；对当前保留的行政许可，严格要求按照法定权限、范围、条件、程序实施审批。三是开展多元化申报，推行“免填单”服务、预约服务和“非接触式”办</w:t>
      </w:r>
      <w:r w:rsidR="0010408D">
        <w:rPr>
          <w:rFonts w:ascii="仿宋_GB2312" w:eastAsia="仿宋_GB2312" w:hAnsi="仿宋_GB2312" w:cs="仿宋_GB2312" w:hint="eastAsia"/>
          <w:bCs/>
          <w:sz w:val="32"/>
          <w:szCs w:val="32"/>
        </w:rPr>
        <w:lastRenderedPageBreak/>
        <w:t>税服务，满足纳税人的办税需求。四是简化文书资料和办理流程，落实办理时限“零超时”、“放管服”改革等。五是落实重大税收执法说明理由制度和行政执法公示制度，印发税务行政执法指导案例。</w:t>
      </w:r>
    </w:p>
    <w:p w:rsidR="00C56DC0" w:rsidRDefault="0010408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落实精确执法，优化税务执法方式。坚持严格规范公正文明执法，落实行政执法“三项制度”，实施权责清单管理，构建税务执法质量控制体系。把准执法尺度，坚决防止和纠正粗放式、选择性、一刀切的随意执法。</w:t>
      </w:r>
    </w:p>
    <w:p w:rsidR="00C56DC0" w:rsidRDefault="0010408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3.严格落实税收执法责任制。严格执行《税收执法过错责任追究办法》的规定，结合实际积极开展执法督察和配合审计督查工作，严格税收执法过错责任追究。</w:t>
      </w:r>
    </w:p>
    <w:p w:rsidR="00C56DC0" w:rsidRDefault="0049383D">
      <w:pPr>
        <w:pStyle w:val="a6"/>
        <w:spacing w:line="560" w:lineRule="exact"/>
        <w:rPr>
          <w:rFonts w:ascii="楷体" w:eastAsia="楷体" w:hAnsi="楷体" w:cs="方正小标宋简体"/>
          <w:b/>
          <w:sz w:val="32"/>
          <w:szCs w:val="32"/>
        </w:rPr>
      </w:pPr>
      <w:r>
        <w:rPr>
          <w:rFonts w:ascii="楷体_GB2312" w:eastAsia="楷体_GB2312" w:hAnsi="楷体_GB2312" w:cs="楷体_GB2312" w:hint="eastAsia"/>
          <w:bCs/>
          <w:sz w:val="32"/>
          <w:szCs w:val="32"/>
        </w:rPr>
        <w:t xml:space="preserve">    </w:t>
      </w:r>
      <w:r w:rsidR="0010408D">
        <w:rPr>
          <w:rFonts w:ascii="楷体_GB2312" w:eastAsia="楷体_GB2312" w:hAnsi="楷体_GB2312" w:cs="楷体_GB2312" w:hint="eastAsia"/>
          <w:bCs/>
          <w:sz w:val="32"/>
          <w:szCs w:val="32"/>
        </w:rPr>
        <w:t>（六）健全突发事件应对体系，依法预防处置重大突发事件</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坚持运用法治思维和法治方式应对突发事件，着力实现越是工作重要、事情紧急越要坚持依法行政，严格依法实施应急举措，在处置重大突发事件中推进法治政府建设。</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1.建立健全睢县税务系统应急预案体系，完善突发公共事件总体和专项应急预案。强化突发事件监测预警、信息报告，做好突发事件应对。</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2.增强风险防范意识，强化防范化解重大风险责任。应对突发事件依法分级分类施策，增强应急处置的针对性实效性。开展应急演练，注重提升依法预防突发事件、先期处置和快速反应能力。</w:t>
      </w:r>
    </w:p>
    <w:p w:rsidR="00C56DC0" w:rsidRDefault="0049383D">
      <w:pPr>
        <w:pStyle w:val="a6"/>
        <w:spacing w:line="560" w:lineRule="exact"/>
        <w:rPr>
          <w:rFonts w:ascii="楷体" w:eastAsia="楷体" w:hAnsi="楷体" w:cs="方正小标宋简体"/>
          <w:b/>
          <w:sz w:val="32"/>
          <w:szCs w:val="32"/>
        </w:rPr>
      </w:pPr>
      <w:r>
        <w:rPr>
          <w:rFonts w:ascii="楷体_GB2312" w:eastAsia="楷体_GB2312" w:hAnsi="楷体_GB2312" w:cs="楷体_GB2312" w:hint="eastAsia"/>
          <w:sz w:val="32"/>
          <w:szCs w:val="32"/>
        </w:rPr>
        <w:lastRenderedPageBreak/>
        <w:t xml:space="preserve">    </w:t>
      </w:r>
      <w:r w:rsidR="0010408D">
        <w:rPr>
          <w:rFonts w:ascii="楷体_GB2312" w:eastAsia="楷体_GB2312" w:hAnsi="楷体_GB2312" w:cs="楷体_GB2312" w:hint="eastAsia"/>
          <w:sz w:val="32"/>
          <w:szCs w:val="32"/>
        </w:rPr>
        <w:t>（七）健全社会矛盾纠纷行政预防调处化解体系，完善权利救济和纠纷化解机制</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认真做好行政复议行政诉讼工作。强化行政复议和应诉工作管理，依托公职律师、法律顾问和相关部门，探索建立多元化的税收争议化解机制。加强税收法治宣传教育，让广大市民特别是青少年走近税收、了解税收、熟悉税收。全年行政复议申请0件、行政诉讼0件。</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bCs/>
          <w:sz w:val="32"/>
          <w:szCs w:val="32"/>
        </w:rPr>
        <w:t xml:space="preserve">    2.信访工作开展情况。将信访工作与综治维稳工作有机结合起来，完善重要信息报告制度、不稳定因素排查制度等维稳工作制度，确保各种不稳定苗头早发现、早报告、早控制、早化解、早处理，安排专人及时上报《信访月报表》和《网络舆情监测日志》。</w:t>
      </w:r>
    </w:p>
    <w:p w:rsidR="00C56DC0" w:rsidRDefault="0049383D">
      <w:pPr>
        <w:pStyle w:val="a6"/>
        <w:spacing w:line="560" w:lineRule="exact"/>
        <w:rPr>
          <w:rFonts w:ascii="仿宋" w:eastAsia="仿宋" w:hAnsi="仿宋" w:cs="方正小标宋简体"/>
          <w:sz w:val="32"/>
          <w:szCs w:val="32"/>
        </w:rPr>
      </w:pPr>
      <w:r>
        <w:rPr>
          <w:rFonts w:ascii="楷体_GB2312" w:eastAsia="楷体_GB2312" w:hAnsi="楷体_GB2312" w:cs="楷体_GB2312" w:hint="eastAsia"/>
          <w:sz w:val="32"/>
          <w:szCs w:val="32"/>
        </w:rPr>
        <w:t xml:space="preserve">    </w:t>
      </w:r>
      <w:r w:rsidR="0010408D">
        <w:rPr>
          <w:rFonts w:ascii="楷体_GB2312" w:eastAsia="楷体_GB2312" w:hAnsi="楷体_GB2312" w:cs="楷体_GB2312" w:hint="eastAsia"/>
          <w:sz w:val="32"/>
          <w:szCs w:val="32"/>
        </w:rPr>
        <w:t>（八）健全行政权力制约和监督体系，全面推进政务公开</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1.健全行政权力运行制约和监督体系。全力推进内控机制建设，组织召开内控机制建设专题会议3次，组织排查内部控制风险点提出应对措施和建议。认真开展税收执法案卷评查。</w:t>
      </w:r>
    </w:p>
    <w:p w:rsidR="00C56DC0" w:rsidRDefault="0010408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加强内外部监督。切实履行全面从严治党的主体责任，主要负责人是第一责任人。一是设置举报箱、公布监督电话，开通多种渠道接受监督举报。二是建立健全网络舆情监测、收集、研判、处置机制，推动网络监督规范化、法治化。三是深入贯彻落实《中国共产党纪律检查机关监督执纪工作规则》，202</w:t>
      </w:r>
      <w:r w:rsidR="005F2CAE">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年度县局党委纪检组先后两次书面向县局党委报告履行监督执纪问责的</w:t>
      </w:r>
      <w:r>
        <w:rPr>
          <w:rFonts w:ascii="仿宋_GB2312" w:eastAsia="仿宋_GB2312" w:hAnsi="仿宋_GB2312" w:cs="仿宋_GB2312" w:hint="eastAsia"/>
          <w:bCs/>
          <w:sz w:val="32"/>
          <w:szCs w:val="32"/>
        </w:rPr>
        <w:lastRenderedPageBreak/>
        <w:t>情况。</w:t>
      </w:r>
    </w:p>
    <w:p w:rsidR="00C56DC0" w:rsidRDefault="0010408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3.依法推行清单管理。召开依法行政领导小组会议，公示睢县税务局县本级权责事项清单136项、第一税务分局权责事项清单77项、其他9个税务分局权责事项清单100项。全年通过河南省税务局行政执法信息公示平台向社会公示准予行政许可</w:t>
      </w:r>
      <w:r w:rsidR="00CD7870">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行政处罚事项。</w:t>
      </w:r>
    </w:p>
    <w:p w:rsidR="00C56DC0" w:rsidRDefault="0010408D">
      <w:pPr>
        <w:pStyle w:val="a6"/>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sidR="0049383D">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（九）健全法治政府建设科技保障体系，推进智慧税务创新落实</w:t>
      </w:r>
    </w:p>
    <w:p w:rsidR="00C56DC0" w:rsidRDefault="0049383D">
      <w:pPr>
        <w:pStyle w:val="a6"/>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增强税法宣传教育效果。持续加强对疫情防控和复工复产及新出台减税降费政策以及重点难点问题的宣传和解读。认真落实疫情防控税费优惠政策，全面梳理4类18项税收优惠政策，通过微信、网站和QQ群等发布电子版，发放宣传材料，组织纳税人专题培训，宣传覆盖面积达100%。配备首席税务服务官，做好税收政策宣传辅导、支持复工复产、顺畅办税等服务。</w:t>
      </w:r>
    </w:p>
    <w:p w:rsidR="00C56DC0" w:rsidRDefault="0010408D">
      <w:pPr>
        <w:pStyle w:val="a6"/>
        <w:spacing w:line="560" w:lineRule="exact"/>
        <w:rPr>
          <w:rFonts w:ascii="仿宋" w:eastAsia="仿宋" w:hAnsi="仿宋" w:cs="方正小标宋简体"/>
          <w:sz w:val="32"/>
          <w:szCs w:val="32"/>
        </w:rPr>
      </w:pPr>
      <w:r>
        <w:rPr>
          <w:rFonts w:ascii="仿宋_GB2312" w:eastAsia="仿宋_GB2312" w:hAnsi="仿宋_GB2312" w:cs="仿宋_GB2312" w:hint="eastAsia"/>
          <w:bCs/>
          <w:sz w:val="32"/>
          <w:szCs w:val="32"/>
        </w:rPr>
        <w:t xml:space="preserve">    2.落实“谁执法谁普法”的普法责任制。认真落实“谁执法谁普法”的各项工作措施，对干部职工以及社会公众积极开展普法教育活动。一是成立“一把手”任组长的专项普法小组， 全年召开2次普法会议。二是认真开展面向社会的普法活动。发放普法宣传资料和LED 电子显示屏巡回播放普法知识，向纳税人和缴费人进行普法宣传。三是采取集中学习、举办讲座、自学等方式，不断增强领导干部的法治理念、法律素质和依法行政依法管理的能力，共组织学习4次。</w:t>
      </w:r>
    </w:p>
    <w:p w:rsidR="00C56DC0" w:rsidRDefault="0049383D">
      <w:pPr>
        <w:pStyle w:val="a6"/>
        <w:spacing w:line="560" w:lineRule="exact"/>
        <w:rPr>
          <w:rFonts w:ascii="楷体" w:eastAsia="楷体" w:hAnsi="楷体" w:cs="方正小标宋简体"/>
          <w:b/>
          <w:sz w:val="32"/>
          <w:szCs w:val="32"/>
        </w:rPr>
      </w:pPr>
      <w:r>
        <w:rPr>
          <w:rFonts w:ascii="楷体_GB2312" w:eastAsia="楷体_GB2312" w:hAnsi="楷体_GB2312" w:cs="楷体_GB2312" w:hint="eastAsia"/>
          <w:bCs/>
          <w:sz w:val="32"/>
          <w:szCs w:val="32"/>
        </w:rPr>
        <w:lastRenderedPageBreak/>
        <w:t xml:space="preserve">    </w:t>
      </w:r>
      <w:r w:rsidR="0010408D">
        <w:rPr>
          <w:rFonts w:ascii="楷体_GB2312" w:eastAsia="楷体_GB2312" w:hAnsi="楷体_GB2312" w:cs="楷体_GB2312" w:hint="eastAsia"/>
          <w:bCs/>
          <w:sz w:val="32"/>
          <w:szCs w:val="32"/>
        </w:rPr>
        <w:t>（十）加强党的领导，健全依法行政领导体制机制</w:t>
      </w:r>
    </w:p>
    <w:p w:rsidR="00C56DC0" w:rsidRDefault="0010408D">
      <w:pPr>
        <w:pStyle w:val="a6"/>
        <w:spacing w:line="560" w:lineRule="exact"/>
        <w:rPr>
          <w:rFonts w:ascii="仿宋_GB2312" w:eastAsia="仿宋_GB2312" w:hAnsi="仿宋_GB2312" w:cs="仿宋_GB2312"/>
          <w:sz w:val="32"/>
          <w:szCs w:val="32"/>
        </w:rPr>
      </w:pPr>
      <w:r>
        <w:rPr>
          <w:rFonts w:ascii="仿宋" w:eastAsia="仿宋" w:hAnsi="仿宋" w:cs="方正小标宋简体" w:hint="eastAsia"/>
          <w:sz w:val="32"/>
          <w:szCs w:val="32"/>
        </w:rPr>
        <w:t xml:space="preserve">    坚持</w:t>
      </w:r>
      <w:r>
        <w:rPr>
          <w:rFonts w:ascii="仿宋_GB2312" w:eastAsia="仿宋_GB2312" w:hAnsi="仿宋_GB2312" w:cs="仿宋_GB2312" w:hint="eastAsia"/>
          <w:sz w:val="32"/>
          <w:szCs w:val="32"/>
        </w:rPr>
        <w:t>党的领导是全面依法治国、建设法治政府的根本保证，必须把法治政府建设摆到工作全局更加突出的位置。</w:t>
      </w:r>
    </w:p>
    <w:p w:rsidR="00C56DC0" w:rsidRDefault="0049383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1.加强依法行政。</w:t>
      </w:r>
      <w:r w:rsidR="0010408D">
        <w:rPr>
          <w:rFonts w:ascii="仿宋_GB2312" w:eastAsia="仿宋_GB2312" w:hAnsi="仿宋_GB2312" w:cs="仿宋_GB2312" w:hint="eastAsia"/>
          <w:sz w:val="32"/>
          <w:szCs w:val="32"/>
        </w:rPr>
        <w:t>调整依法行政工作领导小组组成人员，全年召开依法行政领导小组会议4次，做到了会前学法、领导讲法。落实总局首违不罚事项清单、税务证明事项告知承诺制等，召开分析研判依法治税工作专题会议2次。</w:t>
      </w:r>
    </w:p>
    <w:p w:rsidR="00C56DC0" w:rsidRDefault="0049383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10408D">
        <w:rPr>
          <w:rFonts w:ascii="仿宋_GB2312" w:eastAsia="仿宋_GB2312" w:hAnsi="仿宋_GB2312" w:cs="仿宋_GB2312" w:hint="eastAsia"/>
          <w:bCs/>
          <w:sz w:val="32"/>
          <w:szCs w:val="32"/>
        </w:rPr>
        <w:t>2.落实《党政主要负责人履行推进法治建设第一责任人职责规定》。贯</w:t>
      </w:r>
      <w:r w:rsidR="0010408D">
        <w:rPr>
          <w:rFonts w:ascii="仿宋_GB2312" w:eastAsia="仿宋_GB2312" w:hAnsi="仿宋_GB2312" w:cs="仿宋_GB2312" w:hint="eastAsia"/>
          <w:sz w:val="32"/>
          <w:szCs w:val="32"/>
        </w:rPr>
        <w:t>彻落实党委书记为县局法治建设第一负责人，全年听取法治工作汇报4次。举行述职述廉述法会议，组织开展民主评议。</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3.党委理论中心组学法情况。</w:t>
      </w:r>
      <w:r>
        <w:rPr>
          <w:rFonts w:ascii="仿宋_GB2312" w:eastAsia="仿宋_GB2312" w:hAnsi="仿宋_GB2312" w:cs="仿宋_GB2312" w:hint="eastAsia"/>
          <w:sz w:val="32"/>
          <w:szCs w:val="32"/>
        </w:rPr>
        <w:t xml:space="preserve">每月定期组织党委中心组学习和干部政治理论学习，及时将学习计划进行下发，并按照规定将学法纳入学习计划中，与其他政治理论、业务知识学习同部署、同安排。全年组织党委中心组学法12次。 </w:t>
      </w:r>
    </w:p>
    <w:p w:rsidR="00C56DC0" w:rsidRDefault="0010408D">
      <w:pPr>
        <w:pStyle w:val="a6"/>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4.加强领导干部法治培训。全年组织4次领导干部法治培训。举办法治专题讲座邀请县委党校老师授课进行1次，组织税收相关法律知识测试以及开展岗责体系业务培训1次。 </w:t>
      </w:r>
    </w:p>
    <w:p w:rsidR="00603EB9" w:rsidRDefault="0049383D" w:rsidP="005F2CAE">
      <w:pPr>
        <w:pStyle w:val="a6"/>
        <w:spacing w:line="560" w:lineRule="exact"/>
        <w:rPr>
          <w:rFonts w:ascii="仿宋_GB2312" w:eastAsia="仿宋_GB2312" w:hAnsi="仿宋" w:hint="eastAsia"/>
          <w:bCs/>
          <w:sz w:val="32"/>
          <w:szCs w:val="32"/>
        </w:rPr>
      </w:pPr>
      <w:r>
        <w:rPr>
          <w:rFonts w:ascii="黑体" w:eastAsia="黑体" w:hAnsi="黑体" w:cs="方正小标宋简体" w:hint="eastAsia"/>
          <w:sz w:val="32"/>
          <w:szCs w:val="32"/>
        </w:rPr>
        <w:t xml:space="preserve">  </w:t>
      </w:r>
    </w:p>
    <w:p w:rsidR="00C56DC0" w:rsidRDefault="00603EB9">
      <w:pPr>
        <w:pStyle w:val="a6"/>
        <w:spacing w:line="560" w:lineRule="exact"/>
        <w:rPr>
          <w:rFonts w:ascii="黑体" w:eastAsia="黑体" w:hAnsi="黑体" w:cs="方正小标宋简体"/>
          <w:sz w:val="32"/>
          <w:szCs w:val="32"/>
        </w:rPr>
      </w:pPr>
      <w:r>
        <w:rPr>
          <w:rFonts w:ascii="黑体" w:eastAsia="黑体" w:hAnsi="黑体" w:cs="方正小标宋简体" w:hint="eastAsia"/>
          <w:sz w:val="32"/>
          <w:szCs w:val="32"/>
        </w:rPr>
        <w:t xml:space="preserve">    </w:t>
      </w:r>
      <w:r w:rsidR="005F2CAE">
        <w:rPr>
          <w:rFonts w:ascii="黑体" w:eastAsia="黑体" w:hAnsi="黑体" w:cs="方正小标宋简体" w:hint="eastAsia"/>
          <w:sz w:val="32"/>
          <w:szCs w:val="32"/>
        </w:rPr>
        <w:t>二</w:t>
      </w:r>
      <w:r>
        <w:rPr>
          <w:rFonts w:ascii="黑体" w:eastAsia="黑体" w:hAnsi="黑体" w:cs="方正小标宋简体" w:hint="eastAsia"/>
          <w:sz w:val="32"/>
          <w:szCs w:val="32"/>
        </w:rPr>
        <w:t>、</w:t>
      </w:r>
      <w:r w:rsidR="009C690D">
        <w:rPr>
          <w:rFonts w:ascii="黑体" w:eastAsia="黑体" w:hAnsi="黑体" w:cs="方正小标宋简体" w:hint="eastAsia"/>
          <w:sz w:val="32"/>
          <w:szCs w:val="32"/>
        </w:rPr>
        <w:t>下步</w:t>
      </w:r>
      <w:r w:rsidR="005F2CAE">
        <w:rPr>
          <w:rFonts w:ascii="黑体" w:eastAsia="黑体" w:hAnsi="黑体" w:cs="方正小标宋简体" w:hint="eastAsia"/>
          <w:sz w:val="32"/>
          <w:szCs w:val="32"/>
        </w:rPr>
        <w:t>法治政府建设</w:t>
      </w:r>
      <w:r w:rsidR="0010408D">
        <w:rPr>
          <w:rFonts w:ascii="黑体" w:eastAsia="黑体" w:hAnsi="黑体" w:cs="方正小标宋简体" w:hint="eastAsia"/>
          <w:sz w:val="32"/>
          <w:szCs w:val="32"/>
        </w:rPr>
        <w:t>计划</w:t>
      </w:r>
    </w:p>
    <w:p w:rsidR="00C56DC0" w:rsidRDefault="0049383D">
      <w:pPr>
        <w:pStyle w:val="a6"/>
        <w:spacing w:line="560" w:lineRule="exact"/>
        <w:rPr>
          <w:rFonts w:ascii="仿宋" w:eastAsia="仿宋" w:hAnsi="仿宋" w:cs="方正小标宋简体"/>
          <w:sz w:val="32"/>
          <w:szCs w:val="32"/>
        </w:rPr>
      </w:pPr>
      <w:r>
        <w:rPr>
          <w:rFonts w:ascii="楷体_GB2312" w:eastAsia="楷体_GB2312" w:hAnsi="楷体_GB2312" w:cs="楷体_GB2312" w:hint="eastAsia"/>
          <w:b/>
          <w:sz w:val="32"/>
          <w:szCs w:val="32"/>
        </w:rPr>
        <w:t xml:space="preserve">    </w:t>
      </w:r>
      <w:r w:rsidR="0010408D">
        <w:rPr>
          <w:rFonts w:ascii="楷体_GB2312" w:eastAsia="楷体_GB2312" w:hAnsi="楷体_GB2312" w:cs="楷体_GB2312" w:hint="eastAsia"/>
          <w:b/>
          <w:sz w:val="32"/>
          <w:szCs w:val="32"/>
        </w:rPr>
        <w:t>1.全面落实依法行政工作制度。</w:t>
      </w:r>
      <w:r w:rsidR="0010408D">
        <w:rPr>
          <w:rFonts w:ascii="仿宋_GB2312" w:eastAsia="仿宋_GB2312" w:hAnsi="仿宋_GB2312" w:cs="仿宋_GB2312" w:hint="eastAsia"/>
          <w:sz w:val="32"/>
          <w:szCs w:val="32"/>
        </w:rPr>
        <w:t>健全依法行政工作机制，结合实际，将法治基础工作和专项工作纳入绩效考核，特别将会前学法、依法行政工作领导小组专题会议落实情况、依法行政工作</w:t>
      </w:r>
      <w:r w:rsidR="0010408D">
        <w:rPr>
          <w:rFonts w:ascii="仿宋_GB2312" w:eastAsia="仿宋_GB2312" w:hAnsi="仿宋_GB2312" w:cs="仿宋_GB2312" w:hint="eastAsia"/>
          <w:sz w:val="32"/>
          <w:szCs w:val="32"/>
        </w:rPr>
        <w:lastRenderedPageBreak/>
        <w:t>报告情况纳入绩效考核，做到依法行政考核机制运转有力。</w:t>
      </w:r>
    </w:p>
    <w:p w:rsidR="00C56DC0" w:rsidRDefault="0049383D">
      <w:pPr>
        <w:pStyle w:val="a6"/>
        <w:spacing w:line="560" w:lineRule="exact"/>
        <w:rPr>
          <w:rFonts w:ascii="仿宋" w:eastAsia="仿宋" w:hAnsi="仿宋" w:cs="方正小标宋简体"/>
          <w:sz w:val="32"/>
          <w:szCs w:val="32"/>
        </w:rPr>
      </w:pPr>
      <w:r>
        <w:rPr>
          <w:rFonts w:ascii="楷体_GB2312" w:eastAsia="楷体_GB2312" w:hAnsi="楷体_GB2312" w:cs="楷体_GB2312" w:hint="eastAsia"/>
          <w:b/>
          <w:sz w:val="32"/>
          <w:szCs w:val="32"/>
        </w:rPr>
        <w:t xml:space="preserve">    </w:t>
      </w:r>
      <w:r w:rsidR="0010408D">
        <w:rPr>
          <w:rFonts w:ascii="楷体_GB2312" w:eastAsia="楷体_GB2312" w:hAnsi="楷体_GB2312" w:cs="楷体_GB2312" w:hint="eastAsia"/>
          <w:b/>
          <w:sz w:val="32"/>
          <w:szCs w:val="32"/>
        </w:rPr>
        <w:t>2.持续落实行政执法三项制度。</w:t>
      </w:r>
      <w:r w:rsidR="0010408D">
        <w:rPr>
          <w:rFonts w:ascii="仿宋_GB2312" w:eastAsia="仿宋_GB2312" w:hAnsi="仿宋_GB2312" w:cs="仿宋_GB2312" w:hint="eastAsia"/>
          <w:sz w:val="32"/>
          <w:szCs w:val="32"/>
        </w:rPr>
        <w:t>一是在针对行政许可、行政处罚、行政强制、行政征收和行政检查等五类税收执法行为中作出重大税收执法决定前，必须进行法制审核，未经法制审核或审核未通过的，不得作出决定。二是落实好“首违不罚”清单制度。三是认真落实“行政许可、行政处罚”双公示工作，并积极探索社会信用平台数据应用。四是加强行政复议和应诉工作管理，探索建立多元化的税收争议化解机制。</w:t>
      </w:r>
    </w:p>
    <w:p w:rsidR="00C56DC0" w:rsidRDefault="0049383D">
      <w:pPr>
        <w:pStyle w:val="a6"/>
        <w:spacing w:line="560" w:lineRule="exact"/>
        <w:rPr>
          <w:rFonts w:ascii="仿宋" w:eastAsia="仿宋" w:hAnsi="仿宋" w:cs="方正小标宋简体"/>
          <w:sz w:val="32"/>
          <w:szCs w:val="32"/>
        </w:rPr>
      </w:pPr>
      <w:r>
        <w:rPr>
          <w:rFonts w:ascii="楷体_GB2312" w:eastAsia="楷体_GB2312" w:hAnsi="楷体_GB2312" w:cs="楷体_GB2312" w:hint="eastAsia"/>
          <w:b/>
          <w:sz w:val="32"/>
          <w:szCs w:val="32"/>
        </w:rPr>
        <w:t xml:space="preserve">    </w:t>
      </w:r>
      <w:r w:rsidR="0010408D">
        <w:rPr>
          <w:rFonts w:ascii="楷体_GB2312" w:eastAsia="楷体_GB2312" w:hAnsi="楷体_GB2312" w:cs="楷体_GB2312" w:hint="eastAsia"/>
          <w:b/>
          <w:sz w:val="32"/>
          <w:szCs w:val="32"/>
        </w:rPr>
        <w:t>3.加强法治税务建设示范创建活动。</w:t>
      </w:r>
      <w:r w:rsidR="0010408D">
        <w:rPr>
          <w:rFonts w:ascii="仿宋_GB2312" w:eastAsia="仿宋_GB2312" w:hAnsi="仿宋_GB2312" w:cs="仿宋_GB2312" w:hint="eastAsia"/>
          <w:bCs/>
          <w:sz w:val="32"/>
          <w:szCs w:val="32"/>
        </w:rPr>
        <w:t>一是</w:t>
      </w:r>
      <w:r w:rsidR="0010408D">
        <w:rPr>
          <w:rFonts w:ascii="仿宋_GB2312" w:eastAsia="仿宋_GB2312" w:hAnsi="仿宋_GB2312" w:cs="仿宋_GB2312" w:hint="eastAsia"/>
          <w:sz w:val="32"/>
          <w:szCs w:val="32"/>
        </w:rPr>
        <w:t>树立新时代法治税务建设新标杆，营造法治税务建设创优争先的浓厚氛围，开创法治税务建设新局面。二是优化税务执法方式，健全税务监管体系，改善税收营商环境，深化依法治税实践，打造法治建设的税务样板，创建省级依法行政示范单位、省级服务型行政执法示范点。三是持续推进法治宣传教育，全面营造浓厚法治氛围，通过法治宣传栏等多种形式宣传税收及宪法等知识。</w:t>
      </w:r>
    </w:p>
    <w:p w:rsidR="00C56DC0" w:rsidRDefault="0049383D">
      <w:pPr>
        <w:pStyle w:val="a6"/>
        <w:spacing w:line="560" w:lineRule="exact"/>
        <w:rPr>
          <w:rFonts w:ascii="仿宋_GB2312" w:eastAsia="仿宋_GB2312" w:hAnsi="仿宋_GB2312" w:cs="仿宋_GB2312"/>
          <w:sz w:val="32"/>
          <w:szCs w:val="32"/>
        </w:rPr>
      </w:pPr>
      <w:r>
        <w:rPr>
          <w:rFonts w:ascii="楷体_GB2312" w:eastAsia="楷体_GB2312" w:hAnsi="楷体_GB2312" w:cs="楷体_GB2312" w:hint="eastAsia"/>
          <w:b/>
          <w:sz w:val="32"/>
          <w:szCs w:val="32"/>
        </w:rPr>
        <w:t xml:space="preserve">    </w:t>
      </w:r>
      <w:r w:rsidR="0010408D">
        <w:rPr>
          <w:rFonts w:ascii="楷体_GB2312" w:eastAsia="楷体_GB2312" w:hAnsi="楷体_GB2312" w:cs="楷体_GB2312" w:hint="eastAsia"/>
          <w:b/>
          <w:sz w:val="32"/>
          <w:szCs w:val="32"/>
        </w:rPr>
        <w:t>4.提升行政执法案卷质量。</w:t>
      </w:r>
      <w:r w:rsidR="0010408D">
        <w:rPr>
          <w:rFonts w:ascii="仿宋_GB2312" w:eastAsia="仿宋_GB2312" w:hAnsi="仿宋_GB2312" w:cs="仿宋_GB2312" w:hint="eastAsia"/>
          <w:sz w:val="32"/>
          <w:szCs w:val="32"/>
        </w:rPr>
        <w:t>行政执法程序要符合法定程序，绝大部分案卷做到了执法文书使用规范，行为引用法律法规正确，处理、处罚适当，执法结果公正合法，案卷事实清楚，证据充分。</w:t>
      </w:r>
    </w:p>
    <w:p w:rsidR="00C56DC0" w:rsidRDefault="0049383D">
      <w:pPr>
        <w:pStyle w:val="a6"/>
        <w:spacing w:line="560" w:lineRule="exact"/>
        <w:rPr>
          <w:rFonts w:ascii="仿宋_GB2312" w:eastAsia="仿宋_GB2312" w:hAnsi="仿宋_GB2312" w:cs="仿宋_GB2312"/>
          <w:sz w:val="32"/>
          <w:szCs w:val="32"/>
        </w:rPr>
      </w:pPr>
      <w:r>
        <w:rPr>
          <w:rFonts w:ascii="楷体_GB2312" w:eastAsia="楷体_GB2312" w:hAnsi="楷体_GB2312" w:cs="楷体_GB2312" w:hint="eastAsia"/>
          <w:b/>
          <w:sz w:val="32"/>
          <w:szCs w:val="32"/>
        </w:rPr>
        <w:t xml:space="preserve">    </w:t>
      </w:r>
      <w:r w:rsidR="0010408D">
        <w:rPr>
          <w:rFonts w:ascii="楷体_GB2312" w:eastAsia="楷体_GB2312" w:hAnsi="楷体_GB2312" w:cs="楷体_GB2312" w:hint="eastAsia"/>
          <w:b/>
          <w:sz w:val="32"/>
          <w:szCs w:val="32"/>
        </w:rPr>
        <w:t>5.有力加强内部控制管理。</w:t>
      </w:r>
      <w:r w:rsidR="0010408D">
        <w:rPr>
          <w:rFonts w:ascii="仿宋_GB2312" w:eastAsia="仿宋_GB2312" w:hAnsi="仿宋_GB2312" w:cs="仿宋_GB2312" w:hint="eastAsia"/>
          <w:bCs/>
          <w:sz w:val="32"/>
          <w:szCs w:val="32"/>
        </w:rPr>
        <w:t>一是做好疑点数据核查并及时上报，强化执法监督，做好风险防控。二是有序开展税收执法考评和过错追究，有效规避过错。三是要</w:t>
      </w:r>
      <w:r w:rsidR="0010408D">
        <w:rPr>
          <w:rFonts w:ascii="仿宋_GB2312" w:eastAsia="仿宋_GB2312" w:hAnsi="仿宋_GB2312" w:cs="仿宋_GB2312" w:hint="eastAsia"/>
          <w:sz w:val="32"/>
          <w:szCs w:val="32"/>
        </w:rPr>
        <w:t>继续督促落细落实减税降费政策，助力特色产业发展，做好政策辅导，以更精准、更便捷、</w:t>
      </w:r>
      <w:r w:rsidR="0010408D">
        <w:rPr>
          <w:rFonts w:ascii="仿宋_GB2312" w:eastAsia="仿宋_GB2312" w:hAnsi="仿宋_GB2312" w:cs="仿宋_GB2312" w:hint="eastAsia"/>
          <w:sz w:val="32"/>
          <w:szCs w:val="32"/>
        </w:rPr>
        <w:lastRenderedPageBreak/>
        <w:t>更有温度的服务推动减税降费落地生根。</w:t>
      </w:r>
    </w:p>
    <w:p w:rsidR="00C56DC0" w:rsidRPr="00CD7870" w:rsidRDefault="0010408D" w:rsidP="00CD7870">
      <w:pPr>
        <w:spacing w:line="580" w:lineRule="exact"/>
        <w:jc w:val="left"/>
        <w:rPr>
          <w:rFonts w:ascii="仿宋_GB2312"/>
        </w:rPr>
      </w:pPr>
      <w:r>
        <w:rPr>
          <w:rFonts w:ascii="仿宋_GB2312" w:hint="eastAsia"/>
        </w:rPr>
        <w:t xml:space="preserve">                                2022年</w:t>
      </w:r>
      <w:r w:rsidR="005F2CAE">
        <w:rPr>
          <w:rFonts w:ascii="仿宋_GB2312" w:hint="eastAsia"/>
        </w:rPr>
        <w:t>12</w:t>
      </w:r>
      <w:r>
        <w:rPr>
          <w:rFonts w:ascii="仿宋_GB2312" w:hint="eastAsia"/>
        </w:rPr>
        <w:t>月</w:t>
      </w:r>
      <w:r w:rsidR="005F2CAE">
        <w:rPr>
          <w:rFonts w:ascii="仿宋_GB2312" w:hint="eastAsia"/>
        </w:rPr>
        <w:t>2</w:t>
      </w:r>
      <w:r>
        <w:rPr>
          <w:rFonts w:ascii="仿宋_GB2312" w:hint="eastAsia"/>
        </w:rPr>
        <w:t>日</w:t>
      </w:r>
    </w:p>
    <w:sectPr w:rsidR="00C56DC0" w:rsidRPr="00CD7870" w:rsidSect="00C56DC0">
      <w:headerReference w:type="default" r:id="rId7"/>
      <w:footerReference w:type="even" r:id="rId8"/>
      <w:footerReference w:type="default" r:id="rId9"/>
      <w:pgSz w:w="11906" w:h="16838"/>
      <w:pgMar w:top="2098" w:right="1474" w:bottom="1984" w:left="1587" w:header="0" w:footer="1531" w:gutter="0"/>
      <w:pgNumType w:fmt="numberInDash"/>
      <w:cols w:space="720"/>
      <w:docGrid w:type="linesAndChars" w:linePitch="574"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D3" w:rsidRDefault="00C036D3" w:rsidP="00C56DC0">
      <w:r>
        <w:separator/>
      </w:r>
    </w:p>
  </w:endnote>
  <w:endnote w:type="continuationSeparator" w:id="0">
    <w:p w:rsidR="00C036D3" w:rsidRDefault="00C036D3" w:rsidP="00C56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C0" w:rsidRDefault="00C56DC0">
    <w:pPr>
      <w:pStyle w:val="a3"/>
      <w:framePr w:wrap="around" w:vAnchor="text" w:hAnchor="margin" w:xAlign="outside" w:y="1"/>
      <w:rPr>
        <w:rStyle w:val="a5"/>
      </w:rPr>
    </w:pPr>
    <w:r>
      <w:fldChar w:fldCharType="begin"/>
    </w:r>
    <w:r w:rsidR="0010408D">
      <w:rPr>
        <w:rStyle w:val="a5"/>
      </w:rPr>
      <w:instrText xml:space="preserve">PAGE  </w:instrText>
    </w:r>
    <w:r>
      <w:fldChar w:fldCharType="end"/>
    </w:r>
  </w:p>
  <w:p w:rsidR="00C56DC0" w:rsidRDefault="00C56DC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C0" w:rsidRDefault="00C56DC0">
    <w:pPr>
      <w:pStyle w:val="a3"/>
      <w:ind w:leftChars="100" w:left="320" w:rightChars="100" w:right="320"/>
      <w:rPr>
        <w:rStyle w:val="a5"/>
        <w:rFonts w:ascii="宋体" w:eastAsia="宋体" w:hAnsi="宋体"/>
        <w:sz w:val="28"/>
        <w:szCs w:val="28"/>
      </w:rPr>
    </w:pPr>
    <w:r w:rsidRPr="00C56DC0">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7728;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filled="f" stroked="f" strokeweight="1.25pt">
          <v:textbox style="mso-fit-shape-to-text:t" inset="0,0,0,0">
            <w:txbxContent>
              <w:p w:rsidR="00C56DC0" w:rsidRDefault="00C56DC0">
                <w:pPr>
                  <w:pStyle w:val="a3"/>
                  <w:rPr>
                    <w:rFonts w:ascii="宋体" w:eastAsia="宋体" w:hAnsi="宋体" w:cs="宋体"/>
                    <w:sz w:val="28"/>
                    <w:szCs w:val="28"/>
                  </w:rPr>
                </w:pPr>
                <w:r>
                  <w:rPr>
                    <w:rFonts w:ascii="宋体" w:eastAsia="宋体" w:hAnsi="宋体" w:cs="宋体" w:hint="eastAsia"/>
                    <w:sz w:val="28"/>
                    <w:szCs w:val="28"/>
                  </w:rPr>
                  <w:fldChar w:fldCharType="begin"/>
                </w:r>
                <w:r w:rsidR="0010408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6E5F">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p w:rsidR="00C56DC0" w:rsidRDefault="00C56DC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D3" w:rsidRDefault="00C036D3" w:rsidP="00C56DC0">
      <w:r>
        <w:separator/>
      </w:r>
    </w:p>
  </w:footnote>
  <w:footnote w:type="continuationSeparator" w:id="0">
    <w:p w:rsidR="00C036D3" w:rsidRDefault="00C036D3" w:rsidP="00C5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C0" w:rsidRDefault="00C56DC0">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BAD"/>
    <w:rsid w:val="00070892"/>
    <w:rsid w:val="001004EB"/>
    <w:rsid w:val="0010408D"/>
    <w:rsid w:val="001B7A81"/>
    <w:rsid w:val="001D1ED6"/>
    <w:rsid w:val="00225FCF"/>
    <w:rsid w:val="003E0D0B"/>
    <w:rsid w:val="003E68C8"/>
    <w:rsid w:val="00422B6C"/>
    <w:rsid w:val="0049383D"/>
    <w:rsid w:val="005F2CAE"/>
    <w:rsid w:val="00603EB9"/>
    <w:rsid w:val="006103A0"/>
    <w:rsid w:val="0061685F"/>
    <w:rsid w:val="00634574"/>
    <w:rsid w:val="00694A76"/>
    <w:rsid w:val="007848B9"/>
    <w:rsid w:val="007B137D"/>
    <w:rsid w:val="008631A2"/>
    <w:rsid w:val="00890D08"/>
    <w:rsid w:val="009C690D"/>
    <w:rsid w:val="00AA72C7"/>
    <w:rsid w:val="00C036D3"/>
    <w:rsid w:val="00C312B9"/>
    <w:rsid w:val="00C56DC0"/>
    <w:rsid w:val="00CD7870"/>
    <w:rsid w:val="00CF6E5F"/>
    <w:rsid w:val="00D14C79"/>
    <w:rsid w:val="00DF0BAD"/>
    <w:rsid w:val="00EA0D53"/>
    <w:rsid w:val="00F11AD3"/>
    <w:rsid w:val="00F5663B"/>
    <w:rsid w:val="00F77E26"/>
    <w:rsid w:val="00FE7A32"/>
    <w:rsid w:val="00FF79BE"/>
    <w:rsid w:val="188B1E5C"/>
    <w:rsid w:val="1B346C61"/>
    <w:rsid w:val="299214CD"/>
    <w:rsid w:val="591C1140"/>
    <w:rsid w:val="749D6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C0"/>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56DC0"/>
    <w:pPr>
      <w:tabs>
        <w:tab w:val="center" w:pos="4153"/>
        <w:tab w:val="right" w:pos="8306"/>
      </w:tabs>
      <w:snapToGrid w:val="0"/>
      <w:jc w:val="left"/>
    </w:pPr>
    <w:rPr>
      <w:sz w:val="18"/>
    </w:rPr>
  </w:style>
  <w:style w:type="paragraph" w:styleId="a4">
    <w:name w:val="header"/>
    <w:basedOn w:val="a"/>
    <w:link w:val="Char0"/>
    <w:qFormat/>
    <w:rsid w:val="00C56DC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56DC0"/>
  </w:style>
  <w:style w:type="character" w:customStyle="1" w:styleId="Char">
    <w:name w:val="页脚 Char"/>
    <w:basedOn w:val="a0"/>
    <w:link w:val="a3"/>
    <w:qFormat/>
    <w:rsid w:val="00C56DC0"/>
    <w:rPr>
      <w:rFonts w:ascii="Times New Roman" w:eastAsia="仿宋_GB2312" w:hAnsi="Times New Roman" w:cs="Times New Roman"/>
      <w:sz w:val="18"/>
      <w:szCs w:val="20"/>
    </w:rPr>
  </w:style>
  <w:style w:type="character" w:customStyle="1" w:styleId="Char0">
    <w:name w:val="页眉 Char"/>
    <w:basedOn w:val="a0"/>
    <w:link w:val="a4"/>
    <w:qFormat/>
    <w:rsid w:val="00C56DC0"/>
    <w:rPr>
      <w:rFonts w:ascii="Times New Roman" w:eastAsia="仿宋_GB2312" w:hAnsi="Times New Roman" w:cs="Times New Roman"/>
      <w:sz w:val="18"/>
      <w:szCs w:val="18"/>
    </w:rPr>
  </w:style>
  <w:style w:type="paragraph" w:styleId="a6">
    <w:name w:val="No Spacing"/>
    <w:uiPriority w:val="1"/>
    <w:qFormat/>
    <w:rsid w:val="00C56DC0"/>
    <w:pPr>
      <w:widowControl w:val="0"/>
      <w:jc w:val="both"/>
    </w:pPr>
    <w:rPr>
      <w:rFonts w:cs="Calibri"/>
      <w:kern w:val="2"/>
      <w:sz w:val="21"/>
      <w:szCs w:val="21"/>
    </w:rPr>
  </w:style>
  <w:style w:type="paragraph" w:styleId="a7">
    <w:name w:val="Normal (Web)"/>
    <w:basedOn w:val="a"/>
    <w:uiPriority w:val="99"/>
    <w:unhideWhenUsed/>
    <w:rsid w:val="00603E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张国伟</dc:creator>
  <cp:lastModifiedBy>123456</cp:lastModifiedBy>
  <cp:revision>2</cp:revision>
  <dcterms:created xsi:type="dcterms:W3CDTF">2022-12-01T00:39:00Z</dcterms:created>
  <dcterms:modified xsi:type="dcterms:W3CDTF">2022-12-01T00:39:00Z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