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8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附件2</w:t>
      </w:r>
    </w:p>
    <w:p>
      <w:pPr>
        <w:pStyle w:val="4"/>
        <w:widowControl/>
        <w:spacing w:beforeAutospacing="0" w:afterAutospacing="0" w:line="48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工程建设项目合规性审查结果报告</w:t>
      </w:r>
    </w:p>
    <w:p>
      <w:pPr>
        <w:pStyle w:val="4"/>
        <w:widowControl/>
        <w:spacing w:beforeAutospacing="0" w:afterAutospacing="0" w:line="28" w:lineRule="atLeast"/>
        <w:ind w:firstLine="420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color w:val="333333"/>
          <w:sz w:val="28"/>
          <w:szCs w:val="28"/>
        </w:rPr>
        <w:t>项目检测编号：</w:t>
      </w:r>
      <w:r>
        <w:rPr>
          <w:rFonts w:hint="eastAsia" w:ascii="仿宋_GB2312" w:hAnsi="Times New Roman" w:eastAsia="仿宋_GB2312" w:cs="仿宋_GB2312"/>
          <w:color w:val="333333"/>
          <w:sz w:val="32"/>
          <w:szCs w:val="32"/>
        </w:rPr>
        <w:t>系统自动生成</w:t>
      </w:r>
    </w:p>
    <w:tbl>
      <w:tblPr>
        <w:tblStyle w:val="5"/>
        <w:tblW w:w="8414" w:type="dxa"/>
        <w:tblInd w:w="1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22"/>
        <w:gridCol w:w="33"/>
        <w:gridCol w:w="31"/>
        <w:gridCol w:w="295"/>
        <w:gridCol w:w="45"/>
        <w:gridCol w:w="507"/>
        <w:gridCol w:w="315"/>
        <w:gridCol w:w="285"/>
        <w:gridCol w:w="112"/>
        <w:gridCol w:w="279"/>
        <w:gridCol w:w="48"/>
        <w:gridCol w:w="164"/>
        <w:gridCol w:w="50"/>
        <w:gridCol w:w="675"/>
        <w:gridCol w:w="150"/>
        <w:gridCol w:w="268"/>
        <w:gridCol w:w="29"/>
        <w:gridCol w:w="571"/>
        <w:gridCol w:w="191"/>
        <w:gridCol w:w="36"/>
        <w:gridCol w:w="261"/>
        <w:gridCol w:w="140"/>
        <w:gridCol w:w="165"/>
        <w:gridCol w:w="322"/>
        <w:gridCol w:w="1558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7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项目名称</w:t>
            </w:r>
          </w:p>
        </w:tc>
        <w:tc>
          <w:tcPr>
            <w:tcW w:w="216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县发展改革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推送</w:t>
            </w:r>
          </w:p>
        </w:tc>
        <w:tc>
          <w:tcPr>
            <w:tcW w:w="248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项目单位</w:t>
            </w:r>
          </w:p>
        </w:tc>
        <w:tc>
          <w:tcPr>
            <w:tcW w:w="1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县发展改革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推送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7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用地面积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（㎡）</w:t>
            </w:r>
          </w:p>
        </w:tc>
        <w:tc>
          <w:tcPr>
            <w:tcW w:w="216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县发展改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推送</w:t>
            </w:r>
          </w:p>
        </w:tc>
        <w:tc>
          <w:tcPr>
            <w:tcW w:w="24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申请用地性质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县发展改革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推送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 w:hRule="atLeast"/>
        </w:trPr>
        <w:tc>
          <w:tcPr>
            <w:tcW w:w="17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项目类型</w:t>
            </w:r>
          </w:p>
        </w:tc>
        <w:tc>
          <w:tcPr>
            <w:tcW w:w="216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县发展改革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推送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（系统标准：基础设施类、社会民生类、生态环保类、产业类、能源保障类、房地产类、土地开发与城市更新改造类、党群政法及行政机关设施类、其他类）</w:t>
            </w:r>
          </w:p>
        </w:tc>
        <w:tc>
          <w:tcPr>
            <w:tcW w:w="24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项目级别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二次填报后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（国家、省、市、县重点项目）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8324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shd w:val="clear" w:color="auto" w:fill="F2F2F2"/>
              </w:rPr>
              <w:t>城市总体规划检测情况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79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b/>
                <w:sz w:val="28"/>
                <w:szCs w:val="28"/>
              </w:rPr>
              <w:t>“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三区</w:t>
            </w:r>
            <w:r>
              <w:rPr>
                <w:rFonts w:ascii="Times New Roman" w:hAnsi="Times New Roman" w:eastAsia="宋体"/>
                <w:b/>
                <w:sz w:val="28"/>
                <w:szCs w:val="28"/>
              </w:rPr>
              <w:t>”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情况</w:t>
            </w:r>
          </w:p>
        </w:tc>
        <w:tc>
          <w:tcPr>
            <w:tcW w:w="216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占用禁建区面积</w:t>
            </w:r>
          </w:p>
        </w:tc>
        <w:tc>
          <w:tcPr>
            <w:tcW w:w="24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占用限建区面积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适建区面积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占用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**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㎡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≤5%</w:t>
            </w:r>
          </w:p>
        </w:tc>
        <w:tc>
          <w:tcPr>
            <w:tcW w:w="9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占用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**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㎡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≤5%</w:t>
            </w:r>
          </w:p>
        </w:tc>
        <w:tc>
          <w:tcPr>
            <w:tcW w:w="139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占用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**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㎡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＞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5%</w:t>
            </w:r>
          </w:p>
        </w:tc>
        <w:tc>
          <w:tcPr>
            <w:tcW w:w="9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需二次填报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占用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**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㎡＞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5%</w:t>
            </w:r>
          </w:p>
        </w:tc>
        <w:tc>
          <w:tcPr>
            <w:tcW w:w="139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需二次填报</w:t>
            </w:r>
          </w:p>
        </w:tc>
        <w:tc>
          <w:tcPr>
            <w:tcW w:w="18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79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b/>
                <w:sz w:val="28"/>
                <w:szCs w:val="28"/>
              </w:rPr>
              <w:t>“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四线</w:t>
            </w:r>
            <w:r>
              <w:rPr>
                <w:rFonts w:ascii="Times New Roman" w:hAnsi="Times New Roman" w:eastAsia="宋体"/>
                <w:b/>
                <w:sz w:val="28"/>
                <w:szCs w:val="28"/>
              </w:rPr>
              <w:t>”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情况</w:t>
            </w: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紫线</w:t>
            </w:r>
          </w:p>
        </w:tc>
        <w:tc>
          <w:tcPr>
            <w:tcW w:w="35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黄线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未占用</w:t>
            </w:r>
          </w:p>
        </w:tc>
        <w:tc>
          <w:tcPr>
            <w:tcW w:w="13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6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未占用，或占用但属于基础设施类项目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占用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**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㎡</w:t>
            </w:r>
          </w:p>
        </w:tc>
        <w:tc>
          <w:tcPr>
            <w:tcW w:w="13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需二次填报</w:t>
            </w:r>
          </w:p>
        </w:tc>
        <w:tc>
          <w:tcPr>
            <w:tcW w:w="16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占用，且不属于基础设施类项目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绿线</w:t>
            </w:r>
          </w:p>
        </w:tc>
        <w:tc>
          <w:tcPr>
            <w:tcW w:w="35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蓝线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未占用，或占用面积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≤5%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，或属于林业园林类项目</w:t>
            </w:r>
          </w:p>
        </w:tc>
        <w:tc>
          <w:tcPr>
            <w:tcW w:w="13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6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未占用，或占用但属于供水、排水工程、污水处理、水利工程类项目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占用范围＞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5%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以上，且不属于林业园林类项目</w:t>
            </w:r>
          </w:p>
        </w:tc>
        <w:tc>
          <w:tcPr>
            <w:tcW w:w="13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</w:t>
            </w:r>
          </w:p>
        </w:tc>
        <w:tc>
          <w:tcPr>
            <w:tcW w:w="16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占用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**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㎡，且不属于供水、排水工程、污水处理、水利工程类项目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79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b/>
                <w:sz w:val="28"/>
                <w:szCs w:val="28"/>
              </w:rPr>
              <w:t>“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中心城区用地规划图</w:t>
            </w:r>
            <w:r>
              <w:rPr>
                <w:rFonts w:ascii="Times New Roman" w:hAnsi="Times New Roman" w:eastAsia="宋体"/>
                <w:b/>
                <w:sz w:val="28"/>
                <w:szCs w:val="28"/>
              </w:rPr>
              <w:t>”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情况</w:t>
            </w: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申请</w:t>
            </w:r>
            <w:r>
              <w:rPr>
                <w:rFonts w:ascii="Times New Roman" w:hAnsi="Times New Roman" w:eastAsia="宋体"/>
                <w:b/>
              </w:rPr>
              <w:t>“</w:t>
            </w:r>
            <w:r>
              <w:rPr>
                <w:rFonts w:hint="eastAsia" w:ascii="宋体" w:hAnsi="宋体" w:eastAsia="宋体" w:cs="宋体"/>
                <w:b/>
              </w:rPr>
              <w:t>用地性质</w:t>
            </w:r>
            <w:r>
              <w:rPr>
                <w:rFonts w:ascii="Times New Roman" w:hAnsi="Times New Roman" w:eastAsia="宋体"/>
                <w:b/>
              </w:rPr>
              <w:t>”</w:t>
            </w:r>
            <w:r>
              <w:rPr>
                <w:rFonts w:hint="eastAsia" w:ascii="宋体" w:hAnsi="宋体" w:eastAsia="宋体" w:cs="宋体"/>
                <w:b/>
              </w:rPr>
              <w:t>与中心城区用地规划图一致</w:t>
            </w:r>
          </w:p>
        </w:tc>
        <w:tc>
          <w:tcPr>
            <w:tcW w:w="35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ind w:left="277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申请</w:t>
            </w:r>
            <w:r>
              <w:rPr>
                <w:rFonts w:ascii="Times New Roman" w:hAnsi="Times New Roman" w:eastAsia="宋体"/>
                <w:b/>
              </w:rPr>
              <w:t>“</w:t>
            </w:r>
            <w:r>
              <w:rPr>
                <w:rFonts w:hint="eastAsia" w:ascii="宋体" w:hAnsi="宋体" w:eastAsia="宋体" w:cs="宋体"/>
                <w:b/>
              </w:rPr>
              <w:t>用地性质</w:t>
            </w:r>
            <w:r>
              <w:rPr>
                <w:rFonts w:ascii="Times New Roman" w:hAnsi="Times New Roman" w:eastAsia="宋体"/>
                <w:b/>
              </w:rPr>
              <w:t>”</w:t>
            </w:r>
            <w:r>
              <w:rPr>
                <w:rFonts w:hint="eastAsia" w:ascii="宋体" w:hAnsi="宋体" w:eastAsia="宋体" w:cs="宋体"/>
                <w:b/>
              </w:rPr>
              <w:t>与中心城区用地规划图不一致，存在占用以下用地的</w:t>
            </w:r>
          </w:p>
        </w:tc>
        <w:tc>
          <w:tcPr>
            <w:tcW w:w="35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ind w:left="277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文物古迹用地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（占用面积㎡）</w:t>
            </w:r>
          </w:p>
        </w:tc>
        <w:tc>
          <w:tcPr>
            <w:tcW w:w="35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市政公用设施用地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（占用面积㎡）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35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绿地（占用面积大于</w:t>
            </w:r>
            <w:r>
              <w:rPr>
                <w:rFonts w:ascii="Times New Roman" w:hAnsi="Times New Roman" w:eastAsia="宋体"/>
                <w:b/>
              </w:rPr>
              <w:t>5%</w:t>
            </w:r>
            <w:r>
              <w:rPr>
                <w:rFonts w:hint="eastAsia" w:ascii="宋体" w:hAnsi="宋体" w:eastAsia="宋体" w:cs="宋体"/>
                <w:b/>
              </w:rPr>
              <w:t>）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（占用面积㎡）</w:t>
            </w:r>
          </w:p>
        </w:tc>
        <w:tc>
          <w:tcPr>
            <w:tcW w:w="35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生态控制区（占用面积大于</w:t>
            </w:r>
            <w:r>
              <w:rPr>
                <w:rFonts w:ascii="Times New Roman" w:hAnsi="Times New Roman" w:eastAsia="宋体"/>
                <w:b/>
              </w:rPr>
              <w:t>5%</w:t>
            </w:r>
            <w:r>
              <w:rPr>
                <w:rFonts w:hint="eastAsia" w:ascii="宋体" w:hAnsi="宋体" w:eastAsia="宋体" w:cs="宋体"/>
                <w:b/>
              </w:rPr>
              <w:t>）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（占用面积㎡）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系统自动计算＞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5%</w:t>
            </w:r>
          </w:p>
        </w:tc>
        <w:tc>
          <w:tcPr>
            <w:tcW w:w="35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系统自动计算＞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5%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水域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（占用面积㎡）</w:t>
            </w:r>
          </w:p>
        </w:tc>
        <w:tc>
          <w:tcPr>
            <w:tcW w:w="35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35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9" w:hRule="atLeast"/>
        </w:trPr>
        <w:tc>
          <w:tcPr>
            <w:tcW w:w="17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示意图</w:t>
            </w:r>
          </w:p>
        </w:tc>
        <w:tc>
          <w:tcPr>
            <w:tcW w:w="6530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系统自动出图（含规划叠加图，卫片叠加图等）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324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城市总体规划检测情况（仅供参考）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79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三线</w:t>
            </w: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”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211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城镇开发边界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（占用面积㎡）</w:t>
            </w:r>
          </w:p>
        </w:tc>
        <w:tc>
          <w:tcPr>
            <w:tcW w:w="22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永久基本农田保护红线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（占用面积㎡）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生态保护红线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（占用面积㎡）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1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22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79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其他控制线情况</w:t>
            </w:r>
          </w:p>
        </w:tc>
        <w:tc>
          <w:tcPr>
            <w:tcW w:w="328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城市蓝线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（占用面积㎡）</w:t>
            </w:r>
          </w:p>
        </w:tc>
        <w:tc>
          <w:tcPr>
            <w:tcW w:w="32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城市绿线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（占用面积㎡）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8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32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8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城市紫线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（占用面积㎡）</w:t>
            </w:r>
          </w:p>
        </w:tc>
        <w:tc>
          <w:tcPr>
            <w:tcW w:w="32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城市黄线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（占用面积㎡）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8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32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17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示意图</w:t>
            </w:r>
          </w:p>
        </w:tc>
        <w:tc>
          <w:tcPr>
            <w:tcW w:w="6530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系统自动出图（含项目界线与规划、卫片等的叠加图）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24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土地利用总体规划检测情况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农用地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（占用面积㎡）</w:t>
            </w:r>
          </w:p>
        </w:tc>
        <w:tc>
          <w:tcPr>
            <w:tcW w:w="286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6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其他土地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（占用面积㎡）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7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建设用地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地类情况</w:t>
            </w:r>
          </w:p>
        </w:tc>
        <w:tc>
          <w:tcPr>
            <w:tcW w:w="15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城乡建设用地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（占用面积㎡）</w:t>
            </w:r>
          </w:p>
        </w:tc>
        <w:tc>
          <w:tcPr>
            <w:tcW w:w="1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6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永久基本农田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（占用面积㎡）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1" w:hRule="atLeast"/>
        </w:trPr>
        <w:tc>
          <w:tcPr>
            <w:tcW w:w="1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33" w:type="dxa"/>
            <w:gridSpan w:val="8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交通水利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及其他建设用地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（占用面积㎡）</w:t>
            </w:r>
          </w:p>
        </w:tc>
        <w:tc>
          <w:tcPr>
            <w:tcW w:w="1328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18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是否符合占用永久基本农田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属可以占用永久基本农田的重大项目，须编制规划修改方案暨永久基本农田补划方案，并向省级自然资源主管部门申请踏勘论证。若属省级公路网规划的省级高速公路、连接深度贫困地区直接为该地区服务的省级公路涉及基本农田的，须先行落实永久基本农田补划入库后，方能办理建设项目用地预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33" w:type="dxa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28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18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项目不符合占用永久基本农田的条件，请另行选址，避让永久基本农田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7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建设用地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管制分区情况</w:t>
            </w:r>
          </w:p>
        </w:tc>
        <w:tc>
          <w:tcPr>
            <w:tcW w:w="15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允许建设区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（占用面积㎡）</w:t>
            </w:r>
          </w:p>
        </w:tc>
        <w:tc>
          <w:tcPr>
            <w:tcW w:w="1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6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有条件建设区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（占用面积㎡）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限制建设区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（占用面积㎡）</w:t>
            </w:r>
          </w:p>
        </w:tc>
        <w:tc>
          <w:tcPr>
            <w:tcW w:w="1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646" w:type="dxa"/>
            <w:gridSpan w:val="8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禁止建设区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（占用面积㎡）</w:t>
            </w:r>
          </w:p>
        </w:tc>
        <w:tc>
          <w:tcPr>
            <w:tcW w:w="213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是否符合《限制建设区用地项目目录》</w:t>
            </w:r>
          </w:p>
        </w:tc>
        <w:tc>
          <w:tcPr>
            <w:tcW w:w="1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646" w:type="dxa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示意图</w:t>
            </w:r>
          </w:p>
        </w:tc>
        <w:tc>
          <w:tcPr>
            <w:tcW w:w="286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（土地利用总体规划图（含基本农田））（地类图斑放下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基本农田放上）</w:t>
            </w:r>
          </w:p>
        </w:tc>
        <w:tc>
          <w:tcPr>
            <w:tcW w:w="378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（建设用地管制分区图）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324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控制性详细规划检测情况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2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控规要求</w:t>
            </w:r>
          </w:p>
        </w:tc>
        <w:tc>
          <w:tcPr>
            <w:tcW w:w="295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地块一</w:t>
            </w:r>
          </w:p>
        </w:tc>
        <w:tc>
          <w:tcPr>
            <w:tcW w:w="35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地块二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82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控规指标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申报指标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是否相符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控规指标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申报指标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是否相符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规划用地性质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总计容面积（㎡）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容积率</w:t>
            </w: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≤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绿地率（</w:t>
            </w: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）</w:t>
            </w: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≥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建筑密度（</w:t>
            </w: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）</w:t>
            </w: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≤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限高（</w:t>
            </w: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m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）</w:t>
            </w: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≤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城市设计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及其它要求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配套设施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2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控规要求</w:t>
            </w:r>
          </w:p>
        </w:tc>
        <w:tc>
          <w:tcPr>
            <w:tcW w:w="295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地块三</w:t>
            </w:r>
          </w:p>
        </w:tc>
        <w:tc>
          <w:tcPr>
            <w:tcW w:w="35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b/>
                <w:color w:val="000000"/>
              </w:rPr>
              <w:t>...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82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控规指标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申报指标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是否相符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b/>
                <w:color w:val="000000"/>
              </w:rPr>
              <w:t>...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b/>
                <w:color w:val="000000"/>
              </w:rPr>
              <w:t>...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b/>
                <w:color w:val="000000"/>
              </w:rPr>
              <w:t>...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规划用地性质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总计容面积（㎡）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容积率</w:t>
            </w: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≤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绿地率</w:t>
            </w: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≥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建筑密度</w:t>
            </w: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≤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限高</w:t>
            </w: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≤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城市设计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及其它要求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配套设施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项目叠加控规示意图</w:t>
            </w:r>
          </w:p>
        </w:tc>
        <w:tc>
          <w:tcPr>
            <w:tcW w:w="6497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324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征收储备工作核查意见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219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是否已办理用地报批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(08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年至今</w:t>
            </w: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126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是</w:t>
            </w:r>
            <w:r>
              <w:rPr>
                <w:rFonts w:ascii="Times New Roman" w:hAnsi="Times New Roman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否（系统自动检测）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9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用地报批批次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（或项目）名称</w:t>
            </w:r>
          </w:p>
        </w:tc>
        <w:tc>
          <w:tcPr>
            <w:tcW w:w="6126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b/>
                <w:sz w:val="21"/>
                <w:szCs w:val="21"/>
              </w:rPr>
              <w:t>——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（系统自动检测）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219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已办理用地报批面积（㎡）</w:t>
            </w:r>
          </w:p>
        </w:tc>
        <w:tc>
          <w:tcPr>
            <w:tcW w:w="6126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  <w:b/>
                <w:sz w:val="21"/>
                <w:szCs w:val="21"/>
              </w:rPr>
              <w:t>——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（系统自动检测）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324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土地利用现状情况检测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8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现状调查年份</w:t>
            </w:r>
          </w:p>
        </w:tc>
        <w:tc>
          <w:tcPr>
            <w:tcW w:w="188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/>
              </w:rPr>
              <w:t>20XX</w:t>
            </w:r>
            <w:r>
              <w:rPr>
                <w:rFonts w:hint="eastAsia" w:ascii="宋体" w:hAnsi="宋体" w:eastAsia="宋体" w:cs="宋体"/>
              </w:rPr>
              <w:t>年</w:t>
            </w:r>
          </w:p>
        </w:tc>
        <w:tc>
          <w:tcPr>
            <w:tcW w:w="209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用地总面积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（占用面积㎡）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</w:trPr>
        <w:tc>
          <w:tcPr>
            <w:tcW w:w="18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农用地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（占用面积㎡）</w:t>
            </w:r>
          </w:p>
        </w:tc>
        <w:tc>
          <w:tcPr>
            <w:tcW w:w="188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209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其中耕地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（占用面积㎡）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（注：耕地面积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=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农用地中耕地面积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+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可调整园地面积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+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可调整林地面积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+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可调整人工牧草地面积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+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可调整坑塘水面面积。即与用地预审中土地利用现状计算规则一致）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8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建设用地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（占用面积㎡）</w:t>
            </w:r>
          </w:p>
        </w:tc>
        <w:tc>
          <w:tcPr>
            <w:tcW w:w="188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209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未利用地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（占用面积㎡）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324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规划符合性审查建议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21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城市总体规划符合性审查建议</w:t>
            </w:r>
          </w:p>
        </w:tc>
        <w:tc>
          <w:tcPr>
            <w:tcW w:w="6171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ind w:firstLine="2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由系统填写结论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21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土地利用总体规划符合性审查建议</w:t>
            </w:r>
          </w:p>
        </w:tc>
        <w:tc>
          <w:tcPr>
            <w:tcW w:w="6171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ind w:firstLine="2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由系统填写结论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21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控制性详细规划符合性审查建议</w:t>
            </w:r>
          </w:p>
        </w:tc>
        <w:tc>
          <w:tcPr>
            <w:tcW w:w="6171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ind w:firstLine="2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人工汇总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21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征收储备工作建议</w:t>
            </w:r>
          </w:p>
        </w:tc>
        <w:tc>
          <w:tcPr>
            <w:tcW w:w="6171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ind w:firstLine="2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由系统填写结论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8" w:hRule="atLeast"/>
        </w:trPr>
        <w:tc>
          <w:tcPr>
            <w:tcW w:w="21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耕地保护工作建议</w:t>
            </w:r>
          </w:p>
        </w:tc>
        <w:tc>
          <w:tcPr>
            <w:tcW w:w="6171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ind w:firstLine="360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项目涉及的耕地（详见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土地利用现状情况检测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栏）符合以下情况之一的：</w:t>
            </w:r>
          </w:p>
          <w:p>
            <w:pPr>
              <w:pStyle w:val="4"/>
              <w:widowControl/>
              <w:spacing w:beforeAutospacing="0" w:afterAutospacing="0"/>
              <w:ind w:firstLine="360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）线性工程耕地面积</w:t>
            </w:r>
            <w:r>
              <w:rPr>
                <w:rFonts w:ascii="Times New Roman" w:hAnsi="Times New Roman"/>
                <w:sz w:val="20"/>
                <w:szCs w:val="20"/>
              </w:rPr>
              <w:t>&gt;100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公顷；</w:t>
            </w:r>
          </w:p>
          <w:p>
            <w:pPr>
              <w:pStyle w:val="4"/>
              <w:widowControl/>
              <w:spacing w:beforeAutospacing="0" w:afterAutospacing="0"/>
              <w:ind w:firstLine="360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）块状工程耕地面积</w:t>
            </w:r>
            <w:r>
              <w:rPr>
                <w:rFonts w:ascii="Times New Roman" w:hAnsi="Times New Roman"/>
                <w:sz w:val="20"/>
                <w:szCs w:val="20"/>
              </w:rPr>
              <w:t>&gt;70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公顷；</w:t>
            </w:r>
          </w:p>
          <w:p>
            <w:pPr>
              <w:pStyle w:val="4"/>
              <w:widowControl/>
              <w:spacing w:beforeAutospacing="0" w:afterAutospacing="0"/>
              <w:ind w:firstLine="360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）耕地面积占项目总面积</w:t>
            </w:r>
            <w:r>
              <w:rPr>
                <w:rFonts w:ascii="Times New Roman" w:hAnsi="Times New Roman"/>
                <w:sz w:val="20"/>
                <w:szCs w:val="20"/>
              </w:rPr>
              <w:t>&gt;50%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；</w:t>
            </w:r>
          </w:p>
          <w:p>
            <w:pPr>
              <w:pStyle w:val="4"/>
              <w:widowControl/>
              <w:spacing w:beforeAutospacing="0" w:afterAutospacing="0"/>
              <w:ind w:firstLine="360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根据粤国土资规字〔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号，项目须在申请办理建设项目用地预审前，编制建设项目实地踏勘论证报告并向市资源资源局来函申请论证。</w:t>
            </w:r>
          </w:p>
          <w:p>
            <w:pPr>
              <w:pStyle w:val="4"/>
              <w:widowControl/>
              <w:spacing w:beforeAutospacing="0" w:afterAutospacing="0"/>
              <w:ind w:firstLine="36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根据国土资源部令第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号、粤国土资规字〔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号，对国家和地方尚未颁布土地使用标准和建设标准的建设项目，以及确需突破土地使用标准确定的规模和功能分区的建设项目，须在申请办理建设项目用地预审前，编制建设项目节地评价报告并向市自然资源局来函申请论证。需同时开展踏勘论证和建设项目节地评价的建设项目，可将两项工作合并开展，编制踏勘论证和节地评价报告并向市自然资源局来函申请论证。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07388E"/>
    <w:rsid w:val="003307F8"/>
    <w:rsid w:val="00536173"/>
    <w:rsid w:val="13862270"/>
    <w:rsid w:val="1407388E"/>
    <w:rsid w:val="2FC6039B"/>
    <w:rsid w:val="30CB53CD"/>
    <w:rsid w:val="4074263F"/>
    <w:rsid w:val="6DF4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2045</Words>
  <Characters>792</Characters>
  <Lines>6</Lines>
  <Paragraphs>5</Paragraphs>
  <TotalTime>1</TotalTime>
  <ScaleCrop>false</ScaleCrop>
  <LinksUpToDate>false</LinksUpToDate>
  <CharactersWithSpaces>2832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2019-06-25T01:19:00Z</dcterms:created>
  <dc:creator>李茗茗</dc:creator>
  <cp:lastModifiedBy>王向阳</cp:lastModifiedBy>
  <cp:lastPrinted>2019-06-25T03:08:00Z</cp:lastPrinted>
  <dcterms:modified xsi:type="dcterms:W3CDTF">2022-02-20T05:08:29Z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520EB370DCD947E5AE1C56ADF4239941</vt:lpwstr>
  </property>
</Properties>
</file>