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5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睢县人民政府办公室</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5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2023年度法治政府建设工作报告</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both"/>
        <w:textAlignment w:val="auto"/>
        <w:outlineLvl w:val="9"/>
        <w:rPr>
          <w:rFonts w:hint="eastAsia" w:ascii="仿宋_GB2312" w:hAnsi="仿宋_GB2312" w:eastAsia="仿宋_GB2312" w:cs="仿宋_GB2312"/>
          <w:i w:val="0"/>
          <w:iCs w:val="0"/>
          <w:caps w:val="0"/>
          <w:color w:val="auto"/>
          <w:spacing w:val="0"/>
          <w:sz w:val="32"/>
          <w:szCs w:val="32"/>
          <w:shd w:val="clear"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以来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i w:val="0"/>
          <w:iCs w:val="0"/>
          <w:caps w:val="0"/>
          <w:color w:val="auto"/>
          <w:spacing w:val="0"/>
          <w:sz w:val="32"/>
          <w:szCs w:val="32"/>
          <w:shd w:val="clear" w:fill="FFFFFF"/>
          <w:lang w:val="en-US" w:eastAsia="zh-CN"/>
        </w:rPr>
        <w:t>在</w:t>
      </w:r>
      <w:r>
        <w:rPr>
          <w:rFonts w:hint="eastAsia" w:ascii="仿宋_GB2312" w:hAnsi="仿宋_GB2312" w:eastAsia="仿宋_GB2312" w:cs="仿宋_GB2312"/>
          <w:i w:val="0"/>
          <w:iCs w:val="0"/>
          <w:caps w:val="0"/>
          <w:color w:val="auto"/>
          <w:spacing w:val="0"/>
          <w:sz w:val="32"/>
          <w:szCs w:val="32"/>
          <w:shd w:val="clear" w:fill="FFFFFF"/>
        </w:rPr>
        <w:t>习近平新时代中国特色社会主义思想</w:t>
      </w:r>
      <w:r>
        <w:rPr>
          <w:rFonts w:hint="eastAsia" w:ascii="仿宋_GB2312" w:hAnsi="仿宋_GB2312" w:eastAsia="仿宋_GB2312" w:cs="仿宋_GB2312"/>
          <w:i w:val="0"/>
          <w:iCs w:val="0"/>
          <w:caps w:val="0"/>
          <w:color w:val="auto"/>
          <w:spacing w:val="0"/>
          <w:sz w:val="32"/>
          <w:szCs w:val="32"/>
          <w:shd w:val="clear" w:fill="FFFFFF"/>
          <w:lang w:val="en-US" w:eastAsia="zh-CN"/>
        </w:rPr>
        <w:t>指引下</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val="en-US" w:eastAsia="zh-CN"/>
        </w:rPr>
        <w:t>县委、县政府</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坚强</w:t>
      </w:r>
      <w:r>
        <w:rPr>
          <w:rFonts w:hint="eastAsia" w:ascii="仿宋_GB2312" w:hAnsi="仿宋_GB2312" w:eastAsia="仿宋_GB2312" w:cs="仿宋_GB2312"/>
          <w:color w:val="auto"/>
          <w:sz w:val="32"/>
          <w:szCs w:val="32"/>
        </w:rPr>
        <w:t>领导下，</w:t>
      </w:r>
      <w:r>
        <w:rPr>
          <w:rFonts w:hint="eastAsia" w:ascii="仿宋_GB2312" w:hAnsi="仿宋_GB2312" w:eastAsia="仿宋_GB2312" w:cs="仿宋_GB2312"/>
          <w:color w:val="auto"/>
          <w:sz w:val="32"/>
          <w:szCs w:val="32"/>
          <w:lang w:val="en-US" w:eastAsia="zh-CN"/>
        </w:rPr>
        <w:t>睢县人民政府办公室深入</w:t>
      </w:r>
      <w:r>
        <w:rPr>
          <w:rFonts w:hint="eastAsia" w:ascii="仿宋_GB2312" w:hAnsi="仿宋_GB2312" w:eastAsia="仿宋_GB2312" w:cs="仿宋_GB2312"/>
          <w:color w:val="auto"/>
          <w:sz w:val="32"/>
          <w:szCs w:val="32"/>
          <w:lang w:eastAsia="zh-CN"/>
        </w:rPr>
        <w:t>学习</w:t>
      </w:r>
      <w:r>
        <w:rPr>
          <w:rFonts w:hint="eastAsia" w:ascii="仿宋_GB2312" w:hAnsi="仿宋_GB2312" w:eastAsia="仿宋_GB2312" w:cs="仿宋_GB2312"/>
          <w:color w:val="auto"/>
          <w:sz w:val="32"/>
          <w:szCs w:val="32"/>
        </w:rPr>
        <w:t>贯彻</w:t>
      </w:r>
      <w:r>
        <w:rPr>
          <w:rFonts w:hint="eastAsia" w:ascii="仿宋_GB2312" w:hAnsi="仿宋_GB2312" w:eastAsia="仿宋_GB2312" w:cs="仿宋_GB2312"/>
          <w:color w:val="auto"/>
          <w:sz w:val="32"/>
          <w:szCs w:val="32"/>
          <w:lang w:eastAsia="zh-CN"/>
        </w:rPr>
        <w:t>党的二十大精神，全面贯彻落实</w:t>
      </w:r>
      <w:r>
        <w:rPr>
          <w:rFonts w:hint="eastAsia" w:ascii="仿宋_GB2312" w:hAnsi="仿宋_GB2312" w:eastAsia="仿宋_GB2312" w:cs="仿宋_GB2312"/>
          <w:color w:val="auto"/>
          <w:sz w:val="32"/>
          <w:szCs w:val="32"/>
        </w:rPr>
        <w:t>习近平法治思想，</w:t>
      </w:r>
      <w:r>
        <w:rPr>
          <w:rFonts w:hint="eastAsia" w:ascii="仿宋_GB2312" w:hAnsi="仿宋_GB2312" w:eastAsia="仿宋_GB2312" w:cs="仿宋_GB2312"/>
          <w:color w:val="auto"/>
          <w:sz w:val="32"/>
          <w:szCs w:val="32"/>
          <w:lang w:val="en-US" w:eastAsia="zh-CN"/>
        </w:rPr>
        <w:t>不断完善工作机制，</w:t>
      </w:r>
      <w:r>
        <w:rPr>
          <w:rFonts w:hint="eastAsia" w:ascii="仿宋_GB2312" w:hAnsi="仿宋_GB2312" w:eastAsia="仿宋_GB2312" w:cs="仿宋_GB2312"/>
          <w:i w:val="0"/>
          <w:iCs w:val="0"/>
          <w:caps w:val="0"/>
          <w:color w:val="auto"/>
          <w:spacing w:val="0"/>
          <w:sz w:val="32"/>
          <w:szCs w:val="32"/>
          <w:shd w:val="clear" w:fill="FFFFFF"/>
          <w:lang w:val="en-US" w:eastAsia="zh-CN"/>
        </w:rPr>
        <w:t>全面推进政务公开，</w:t>
      </w:r>
      <w:r>
        <w:rPr>
          <w:rFonts w:hint="eastAsia" w:ascii="仿宋_GB2312" w:hAnsi="仿宋_GB2312" w:eastAsia="仿宋_GB2312" w:cs="仿宋_GB2312"/>
          <w:color w:val="auto"/>
          <w:sz w:val="32"/>
          <w:szCs w:val="32"/>
        </w:rPr>
        <w:t>依法规范行政行为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着力推动法治政府建设重大决策部署落实,</w:t>
      </w:r>
      <w:r>
        <w:rPr>
          <w:rFonts w:hint="eastAsia" w:ascii="仿宋_GB2312" w:hAnsi="仿宋_GB2312" w:eastAsia="仿宋_GB2312" w:cs="仿宋_GB2312"/>
          <w:color w:val="auto"/>
          <w:sz w:val="32"/>
          <w:szCs w:val="32"/>
          <w:lang w:eastAsia="zh-CN"/>
        </w:rPr>
        <w:t>各项工作法治化、规范化水平进一步提升。</w:t>
      </w:r>
      <w:r>
        <w:rPr>
          <w:rFonts w:hint="eastAsia" w:ascii="仿宋_GB2312" w:hAnsi="仿宋_GB2312" w:eastAsia="仿宋_GB2312" w:cs="仿宋_GB2312"/>
          <w:sz w:val="32"/>
          <w:szCs w:val="32"/>
        </w:rPr>
        <w:t>现将有关情况</w:t>
      </w:r>
      <w:r>
        <w:rPr>
          <w:rFonts w:hint="eastAsia" w:ascii="仿宋_GB2312" w:hAnsi="仿宋_GB2312" w:eastAsia="仿宋_GB2312" w:cs="仿宋_GB2312"/>
          <w:sz w:val="32"/>
          <w:szCs w:val="32"/>
          <w:lang w:val="en-US" w:eastAsia="zh-CN"/>
        </w:rPr>
        <w:t>总结</w:t>
      </w:r>
      <w:r>
        <w:rPr>
          <w:rFonts w:hint="eastAsia" w:ascii="仿宋_GB2312" w:hAnsi="仿宋_GB2312" w:eastAsia="仿宋_GB2312" w:cs="仿宋_GB2312"/>
          <w:sz w:val="32"/>
          <w:szCs w:val="32"/>
        </w:rPr>
        <w:t>如下:</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一、主要工作开展情况和成效</w:t>
      </w:r>
    </w:p>
    <w:p>
      <w:pPr>
        <w:keepNext w:val="0"/>
        <w:keepLines w:val="0"/>
        <w:pageBreakBefore w:val="0"/>
        <w:widowControl w:val="0"/>
        <w:kinsoku/>
        <w:wordWrap w:val="0"/>
        <w:overflowPunct/>
        <w:topLinePunct w:val="0"/>
        <w:autoSpaceDE/>
        <w:autoSpaceDN/>
        <w:bidi w:val="0"/>
        <w:adjustRightInd w:val="0"/>
        <w:snapToGrid/>
        <w:spacing w:line="560" w:lineRule="exact"/>
        <w:ind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（一）全面学习贯彻习近平法治思想。</w:t>
      </w:r>
      <w:r>
        <w:rPr>
          <w:rFonts w:hint="eastAsia" w:ascii="仿宋_GB2312" w:hAnsi="仿宋_GB2312" w:eastAsia="仿宋_GB2312" w:cs="仿宋_GB2312"/>
          <w:color w:val="auto"/>
          <w:sz w:val="32"/>
          <w:szCs w:val="32"/>
          <w:lang w:val="en-US" w:eastAsia="zh-CN"/>
        </w:rPr>
        <w:t>坚持把习近平法治思想作为本单位重点学习内容，通过县政府办公室党组会、全体会、专题学习会等形式，用好、用活“学习强国”学习平台，深入、系统、全面学习习近平法治思想，吃透基本精神、把握核心要义、明确工作任务，推动习近平法治思想入脑入心。自觉将习近平法治思想贯穿县政府办公室工作始终,全面落实法治政府建设工作要点,做到学思悟贯通、知信行统一，不断提高运用法治思维、法治方式推进依法行政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（二）切实履行法治政府建设主体职责。</w:t>
      </w:r>
      <w:r>
        <w:rPr>
          <w:rFonts w:hint="eastAsia" w:ascii="仿宋_GB2312" w:hAnsi="仿宋_GB2312" w:eastAsia="仿宋_GB2312" w:cs="仿宋_GB2312"/>
          <w:color w:val="auto"/>
          <w:sz w:val="32"/>
          <w:szCs w:val="32"/>
          <w:lang w:val="en-US" w:eastAsia="zh-CN"/>
        </w:rPr>
        <w:t>县政府办公室高度重视法治政府建设工作，将法治政府建设工作摆在办公室工作的重要位置，坚持与日常工作同部署、同推进、同考核、同奖惩。强化法治思维，注重内部制度建设，制定印发了《睢县人民政府办公室关于修订完善部分规章制度的通知》，对17项内部制度进行优化明确，进一步规范内部管理，严格自身监管。严格执行县委县政府关于法治政府建设各项安排部署，办公室主任带头履行推进法治建设第一责任人职责，坚持以身作则、以上率下，带头尊法学法守法用法，业务科室切实承担法治政府建设工作职能职责，相关科室密切配合，共同推进工作开展，形成抓落实的强大合力。严格执行民主集中制，集体研究“三重一大”，出台重要文件广泛征求意见，进一步推进决策科学化、民主化、法治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（三）深入推进依法行政。</w:t>
      </w:r>
      <w:r>
        <w:rPr>
          <w:rFonts w:hint="eastAsia" w:ascii="仿宋_GB2312" w:hAnsi="仿宋_GB2312" w:eastAsia="仿宋_GB2312" w:cs="仿宋_GB2312"/>
          <w:color w:val="auto"/>
          <w:sz w:val="32"/>
          <w:szCs w:val="32"/>
          <w:lang w:val="en-US" w:eastAsia="zh-CN"/>
        </w:rPr>
        <w:t>紧紧围绕县委县政府中心工作，充分发挥参谋助手作用，将办文、办会、办事各项工作纳入法治轨道。</w:t>
      </w:r>
      <w:r>
        <w:rPr>
          <w:rFonts w:hint="eastAsia" w:ascii="仿宋_GB2312" w:hAnsi="仿宋_GB2312" w:eastAsia="仿宋_GB2312" w:cs="仿宋_GB2312"/>
          <w:b/>
          <w:bCs/>
          <w:color w:val="auto"/>
          <w:sz w:val="32"/>
          <w:szCs w:val="32"/>
          <w:lang w:val="en-US" w:eastAsia="zh-CN"/>
        </w:rPr>
        <w:t>一是加强统筹协调。</w:t>
      </w:r>
      <w:r>
        <w:rPr>
          <w:rFonts w:hint="eastAsia" w:ascii="仿宋_GB2312" w:hAnsi="仿宋_GB2312" w:eastAsia="仿宋_GB2312" w:cs="仿宋_GB2312"/>
          <w:color w:val="auto"/>
          <w:sz w:val="32"/>
          <w:szCs w:val="32"/>
          <w:lang w:val="en-US" w:eastAsia="zh-CN"/>
        </w:rPr>
        <w:t>围绕县委县政府关于法治政府建设安排部署，认真办理法治政府建设方面的文电、会务等工作，协助县政府领导同志组织召开法治政府建设方面会议，推动我县法治政府建设取得明显成效。</w:t>
      </w:r>
      <w:r>
        <w:rPr>
          <w:rFonts w:hint="eastAsia" w:ascii="仿宋_GB2312" w:hAnsi="仿宋_GB2312" w:eastAsia="仿宋_GB2312" w:cs="仿宋_GB2312"/>
          <w:b/>
          <w:bCs/>
          <w:color w:val="auto"/>
          <w:sz w:val="32"/>
          <w:szCs w:val="32"/>
          <w:lang w:val="en-US" w:eastAsia="zh-CN"/>
        </w:rPr>
        <w:t>二是助推依法行政。</w:t>
      </w:r>
      <w:r>
        <w:rPr>
          <w:rFonts w:hint="eastAsia" w:ascii="仿宋_GB2312" w:hAnsi="仿宋_GB2312" w:eastAsia="仿宋_GB2312" w:cs="仿宋_GB2312"/>
          <w:color w:val="auto"/>
          <w:sz w:val="32"/>
          <w:szCs w:val="32"/>
          <w:lang w:val="en-US" w:eastAsia="zh-CN"/>
        </w:rPr>
        <w:t>全面贯彻落实《重大行政决策程序暂行条例》，对县政府涉法重大决策认真进行合法性审查，邀请县政府法律顾问参与重大行政决策程序，做到重大决策经过调查研究、征求意见、充分酝酿等程序，按照规则由集体讨论和决定，实行科学决策、民主决策、依法决策。</w:t>
      </w:r>
      <w:r>
        <w:rPr>
          <w:rFonts w:hint="eastAsia" w:ascii="仿宋_GB2312" w:hAnsi="仿宋_GB2312" w:eastAsia="仿宋_GB2312" w:cs="仿宋_GB2312"/>
          <w:b/>
          <w:bCs/>
          <w:color w:val="auto"/>
          <w:sz w:val="32"/>
          <w:szCs w:val="32"/>
          <w:lang w:val="en-US" w:eastAsia="zh-CN"/>
        </w:rPr>
        <w:t>三是强化行政规范性文件合法性审查</w:t>
      </w:r>
      <w:r>
        <w:rPr>
          <w:rFonts w:hint="eastAsia" w:ascii="仿宋_GB2312" w:hAnsi="仿宋_GB2312" w:eastAsia="仿宋_GB2312" w:cs="仿宋_GB2312"/>
          <w:color w:val="auto"/>
          <w:sz w:val="32"/>
          <w:szCs w:val="32"/>
          <w:lang w:val="en-US" w:eastAsia="zh-CN"/>
        </w:rPr>
        <w:t>。办公室全体会议重点学习《商丘市行政规范性文件合法性审核工作指南》，严格程序，强化审查，认真做好以县政府和县政府办公室名义出台的规范性文件的合法性审查工作，并出具合法性审查意见。</w:t>
      </w:r>
      <w:r>
        <w:rPr>
          <w:rFonts w:hint="eastAsia" w:ascii="仿宋_GB2312" w:hAnsi="仿宋_GB2312" w:eastAsia="仿宋_GB2312" w:cs="仿宋_GB2312"/>
          <w:b/>
          <w:bCs/>
          <w:color w:val="auto"/>
          <w:sz w:val="32"/>
          <w:szCs w:val="32"/>
          <w:lang w:val="en-US" w:eastAsia="zh-CN"/>
        </w:rPr>
        <w:t>四是规范涉法服务。</w:t>
      </w:r>
      <w:r>
        <w:rPr>
          <w:rFonts w:hint="eastAsia" w:ascii="仿宋_GB2312" w:hAnsi="仿宋_GB2312" w:eastAsia="仿宋_GB2312" w:cs="仿宋_GB2312"/>
          <w:color w:val="auto"/>
          <w:sz w:val="32"/>
          <w:szCs w:val="32"/>
          <w:lang w:val="en-US" w:eastAsia="zh-CN"/>
        </w:rPr>
        <w:t>积极履行法律参谋、助手职责，审核各类合同、协议、涉法文件120余份，提出审核意见600余条。积极参与各种涉法会议、信访会议，认真承办县政府交办的其他涉法事务。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（四）有效化解行政争议。</w:t>
      </w:r>
      <w:r>
        <w:rPr>
          <w:rFonts w:hint="eastAsia" w:ascii="仿宋_GB2312" w:hAnsi="仿宋_GB2312" w:eastAsia="仿宋_GB2312" w:cs="仿宋_GB2312"/>
          <w:color w:val="auto"/>
          <w:sz w:val="32"/>
          <w:szCs w:val="32"/>
          <w:lang w:val="en-US" w:eastAsia="zh-CN"/>
        </w:rPr>
        <w:t>全面深化行政复议体制改革，积极推进行政复议职责有效整合，按照“一级政府只设立一个行政复议机关”的要求，县政府自2023年1月1日起,在睢县范围内集中行使行政复议职责。行政复议体制改革以来，面对案件骤增的情况，创新工作方法，完善工作制度，充分发挥行政复议化解行政争议主渠道作用。通过县政府门户网站公布行政复议申请书格式样本、行政复议案件受理范围和条件、行政复议案件办理程序等信息，切实做到公开便民。坚持依法办案，按照法定程序深入调查、并严格限时办结，确保“依法受理、细致审查、限时办结”。推进行政复议多元调解工作，积极组织行政复议申请人和被申请人依法开展行政矛盾多元化解工作，引导当事人与行政机关在复议体系框架内依法进行调解。加强针对性普法，主动通过释法答疑等方式，向行政相对人开展有针对性的普法宣传，帮助行政相对人详细了解案情、清晰认知法律规定，部分行政相对人当场或后续表示不再提起行政复议或者撤回复议申请。202</w:t>
      </w:r>
      <w:r>
        <w:rPr>
          <w:rFonts w:hint="default" w:ascii="仿宋_GB2312" w:hAnsi="仿宋_GB2312" w:eastAsia="仿宋_GB2312" w:cs="仿宋_GB2312"/>
          <w:color w:val="auto"/>
          <w:sz w:val="32"/>
          <w:szCs w:val="32"/>
          <w:lang w:eastAsia="zh-CN"/>
        </w:rPr>
        <w:t>3</w:t>
      </w:r>
      <w:r>
        <w:rPr>
          <w:rFonts w:hint="eastAsia" w:ascii="仿宋_GB2312" w:hAnsi="仿宋_GB2312" w:eastAsia="仿宋_GB2312" w:cs="仿宋_GB2312"/>
          <w:color w:val="auto"/>
          <w:sz w:val="32"/>
          <w:szCs w:val="32"/>
          <w:lang w:val="en-US" w:eastAsia="zh-CN"/>
        </w:rPr>
        <w:t>年，共收到行政复议申请106件，大多涉及土地权属纠纷、行政处罚、投诉举报处理等，其中经过沟通协调，在立案前申请人主动撤回行政复议申请化解21件。受理81件，不予受理4件，上期结转案件14件，目前已审结80件，其中维持7件，撤销1件，驳回7件，确认违法4件，责令2件，调解后申请人主动撤回申请终止55件，及时审结率高，基本做到了“定纷止争，案结事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（五）切实加强行政应诉。2023年1月16日，</w:t>
      </w:r>
      <w:r>
        <w:rPr>
          <w:rFonts w:hint="eastAsia" w:ascii="仿宋_GB2312" w:hAnsi="仿宋_GB2312" w:eastAsia="仿宋_GB2312" w:cs="仿宋_GB2312"/>
          <w:color w:val="auto"/>
          <w:sz w:val="32"/>
          <w:szCs w:val="32"/>
          <w:lang w:val="en-US" w:eastAsia="zh-CN"/>
        </w:rPr>
        <w:t>组织行政复议工作人员参加2023年全国行政复议和行政应诉线上培训，聚焦信息公开案件审理要点、土地纠纷化解、行政诉讼审判要点等重要内容，提升了行政应诉能力。指导、监督全县行政应诉工作，认真落实行政机关负责人出庭应诉制度。2023年11月1日，组织全县各有关单位参加新修订的行政复议法线上培训，全面学习贯彻新修订的行政复议法，增强准确理解使用的履职能力，提高办案质效。上半年，睢县无市中级人民法院审理的一审行政诉讼案件，睢县人民法院审理的行政诉讼案件开庭数为13件，行政机关负责人出庭应诉率100%，受到市政府办公室通报肯定。2023年，受县政府委托，代理睢县人民政府行政诉讼案件2件，无一败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（六）全面推进政务公开</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bCs/>
          <w:color w:val="auto"/>
          <w:sz w:val="32"/>
          <w:szCs w:val="32"/>
          <w:lang w:val="en-US" w:eastAsia="zh-CN"/>
        </w:rPr>
        <w:t>与市网站集约化平台对接，完成网站集约化建设工作。</w:t>
      </w:r>
      <w:r>
        <w:rPr>
          <w:rFonts w:hint="eastAsia" w:ascii="仿宋_GB2312" w:hAnsi="仿宋_GB2312" w:eastAsia="仿宋_GB2312" w:cs="仿宋_GB2312"/>
          <w:color w:val="auto"/>
          <w:sz w:val="32"/>
          <w:szCs w:val="32"/>
          <w:lang w:val="en-US" w:eastAsia="zh-CN"/>
        </w:rPr>
        <w:t>进一步完善政府信息公开平台建设，新增公共企事业信息公开栏目（目前正在进行信息上传工作，完成后上线），对照国办、省办政务公开第三方评估方案要求，加强重点领域、法定主动公开内容更新频次，发布规划计划、统计信息、公共服务、环境保护、食品药品等法定主动公开信息120余条，发布营商环境、信用睢县政策类信息、动态类信息370余条。新建行政复议、县域商业建设、招录招聘等栏目，网站内容更切合广大群众和服务对象的实际需求。</w:t>
      </w:r>
      <w:r>
        <w:rPr>
          <w:rFonts w:hint="eastAsia" w:ascii="仿宋_GB2312" w:hAnsi="仿宋_GB2312" w:eastAsia="仿宋_GB2312" w:cs="仿宋_GB2312"/>
          <w:b/>
          <w:bCs/>
          <w:color w:val="auto"/>
          <w:sz w:val="32"/>
          <w:szCs w:val="32"/>
          <w:lang w:val="en-US" w:eastAsia="zh-CN"/>
        </w:rPr>
        <w:t>压实政务新媒体监管责任。</w:t>
      </w:r>
      <w:r>
        <w:rPr>
          <w:rFonts w:hint="eastAsia" w:ascii="仿宋_GB2312" w:hAnsi="仿宋_GB2312" w:eastAsia="仿宋_GB2312" w:cs="仿宋_GB2312"/>
          <w:color w:val="auto"/>
          <w:sz w:val="32"/>
          <w:szCs w:val="32"/>
          <w:lang w:val="en-US" w:eastAsia="zh-CN"/>
        </w:rPr>
        <w:t>对监管的10个政务新媒体开展每月一次的全县政务新媒体检查，检查比例100%。同时，每周两次对全县政务新媒体运行情况动态监管，发现问题第一时间通知具体负责人，并要求限期整改。</w:t>
      </w:r>
      <w:r>
        <w:rPr>
          <w:rFonts w:hint="eastAsia" w:ascii="仿宋_GB2312" w:hAnsi="仿宋_GB2312" w:eastAsia="仿宋_GB2312" w:cs="仿宋_GB2312"/>
          <w:b/>
          <w:bCs/>
          <w:color w:val="auto"/>
          <w:sz w:val="32"/>
          <w:szCs w:val="32"/>
          <w:lang w:val="en-US" w:eastAsia="zh-CN"/>
        </w:rPr>
        <w:t>及时做好政府信箱办理和依申请信息公开工作。</w:t>
      </w:r>
      <w:r>
        <w:rPr>
          <w:rFonts w:hint="eastAsia" w:ascii="仿宋_GB2312" w:hAnsi="仿宋_GB2312" w:eastAsia="仿宋_GB2312" w:cs="仿宋_GB2312"/>
          <w:color w:val="auto"/>
          <w:sz w:val="32"/>
          <w:szCs w:val="32"/>
          <w:lang w:val="en-US" w:eastAsia="zh-CN"/>
        </w:rPr>
        <w:t>高度重视对政府信箱的办理，坚持“高效、快捷、便民”的原则，专人专职，认真办理，对群众反映的诉求或提出的建议，在认真调查核实后，按规定的时间（4个工作日内）予以回复。目前，共收到信件41件，已全部按时办结，其中8件为公开件，33件为未公开件。共收到依申请信息公开9件，已全部按照要求办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存在的问题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年来，在办公室领导高度重视和全体干部职工的大力支持参与下，县政府办公室法治政府建设工作实现新突破、取得新成效，但对标中央、省、市、县法治政府建设工作的新形势、新任务、新要求，还存在一定差距，主要表现在法治宣传的方式还需进一步创新，干部职工运用法治思维指导工作实践的能力和水平还需进一步加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三、下步工作打算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今后的工作中，县政府办公室将继续履行好法治政府建设主体职责，以服务和保障县委县政府中心工作为导向，以制度建设为统领，坚持问题导向，补齐工作短板，奋力推进治理体系和治理能力现代化，加快建设法治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楷体_GB2312" w:hAnsi="楷体_GB2312" w:eastAsia="楷体_GB2312" w:cs="楷体_GB2312"/>
          <w:b w:val="0"/>
          <w:bCs w:val="0"/>
          <w:color w:val="auto"/>
          <w:sz w:val="32"/>
          <w:szCs w:val="32"/>
          <w:lang w:val="en-US" w:eastAsia="zh-CN"/>
        </w:rPr>
        <w:t>（一）切实加强党的集中统一领导。</w:t>
      </w:r>
      <w:r>
        <w:rPr>
          <w:rFonts w:hint="eastAsia" w:ascii="仿宋_GB2312" w:hAnsi="仿宋_GB2312" w:eastAsia="仿宋_GB2312" w:cs="仿宋_GB2312"/>
          <w:color w:val="auto"/>
          <w:sz w:val="32"/>
          <w:szCs w:val="32"/>
          <w:lang w:val="en-US" w:eastAsia="zh-CN"/>
        </w:rPr>
        <w:t>持续深化党政主要负责人履行推进法治建设第一责任人职责，抓实年度工作部署，加强指导和督查，定期听取法治政府建设工作情况汇报，对存在的问题和薄弱环节进行分析研究，采取有力措施予以及时解决。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（二）严格规范依法决策机制。</w:t>
      </w:r>
      <w:r>
        <w:rPr>
          <w:rFonts w:hint="eastAsia" w:ascii="仿宋_GB2312" w:hAnsi="仿宋_GB2312" w:eastAsia="仿宋_GB2312" w:cs="仿宋_GB2312"/>
          <w:color w:val="auto"/>
          <w:sz w:val="32"/>
          <w:szCs w:val="32"/>
          <w:lang w:val="en-US" w:eastAsia="zh-CN"/>
        </w:rPr>
        <w:t>全面落实行政规范性文件合法性审核机制，严格规范县政府涉法重大决策合法性审查，积极发挥法律顾问、公职律师在重大决策、重大行政行为等事务中的作用。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（三）充分发挥行政复议化解行政争议主渠道作用。</w:t>
      </w:r>
      <w:r>
        <w:rPr>
          <w:rFonts w:hint="eastAsia" w:ascii="仿宋_GB2312" w:hAnsi="仿宋_GB2312" w:eastAsia="仿宋_GB2312" w:cs="仿宋_GB2312"/>
          <w:color w:val="auto"/>
          <w:sz w:val="32"/>
          <w:szCs w:val="32"/>
          <w:lang w:val="en-US" w:eastAsia="zh-CN"/>
        </w:rPr>
        <w:t>全面深化行政复议体制改革，推进行政复议规范化、专业化、信息化建设。加大行政复议纠错力度，依法纠正违法或不当的行政行为。加强对行政复议决定书、意见书、建议书落实情况的监督检查，并将落实情况作为法治政府建设考核的重要指标。加大行政复议案件调解力度，把依法调解贯穿于行政复议案件审理全过程，推动从源头上实质性化解行政争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（四）加强和规范行政应诉工作。</w:t>
      </w:r>
      <w:r>
        <w:rPr>
          <w:rFonts w:hint="eastAsia" w:ascii="仿宋_GB2312" w:hAnsi="仿宋_GB2312" w:eastAsia="仿宋_GB2312" w:cs="仿宋_GB2312"/>
          <w:color w:val="auto"/>
          <w:sz w:val="32"/>
          <w:szCs w:val="32"/>
          <w:lang w:val="en-US" w:eastAsia="zh-CN"/>
        </w:rPr>
        <w:t>严格落实行政机关负责人出庭应诉相关规定，把行政机关负责人出庭应诉情况作为法治政府建设考核的重要内容。支持人民法院依法受理和审理行政案件，加强与人民法院常态化沟通联络工作，积极推进行政争议源头化解工作。做好行政应诉案件统计分析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（五）全面主动落实政务公开。</w:t>
      </w:r>
      <w:r>
        <w:rPr>
          <w:rFonts w:hint="eastAsia" w:ascii="仿宋_GB2312" w:hAnsi="仿宋_GB2312" w:eastAsia="仿宋_GB2312" w:cs="仿宋_GB2312"/>
          <w:color w:val="auto"/>
          <w:sz w:val="32"/>
          <w:szCs w:val="32"/>
          <w:lang w:val="en-US" w:eastAsia="zh-CN"/>
        </w:rPr>
        <w:t>坚持以公开为常态、不公开为例外，全面提升政务公开质量和实效。不断完善全县政府信息依申请公开工作机制，提高政策发布解读工作质量，依法保障人民群众合理信息需求。加强公开制度化、标准化、信息化建设，进一步健全政务公开制度体系。</w:t>
      </w:r>
    </w:p>
    <w:sectPr>
      <w:footerReference r:id="rId3" w:type="default"/>
      <w:pgSz w:w="11906" w:h="16838"/>
      <w:pgMar w:top="1417"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beforeLines="82" w:beforeAutospacing="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ThhZTQ4ZWRjZjYxMmFiMTVlNmZkNDY0YmMzZDQifQ=="/>
  </w:docVars>
  <w:rsids>
    <w:rsidRoot w:val="55A25EE4"/>
    <w:rsid w:val="05F131A3"/>
    <w:rsid w:val="092674E4"/>
    <w:rsid w:val="092D370C"/>
    <w:rsid w:val="0AA45DFE"/>
    <w:rsid w:val="0D020A0B"/>
    <w:rsid w:val="0F661726"/>
    <w:rsid w:val="0F6E755A"/>
    <w:rsid w:val="116E48C1"/>
    <w:rsid w:val="13B14F39"/>
    <w:rsid w:val="1525101E"/>
    <w:rsid w:val="16E546BE"/>
    <w:rsid w:val="17884203"/>
    <w:rsid w:val="17A252C5"/>
    <w:rsid w:val="17B6195E"/>
    <w:rsid w:val="1A562397"/>
    <w:rsid w:val="1C197B20"/>
    <w:rsid w:val="1CF15636"/>
    <w:rsid w:val="240B2444"/>
    <w:rsid w:val="262477ED"/>
    <w:rsid w:val="2D652BFB"/>
    <w:rsid w:val="33857B1D"/>
    <w:rsid w:val="35AF70D3"/>
    <w:rsid w:val="374F3B71"/>
    <w:rsid w:val="37F94635"/>
    <w:rsid w:val="3A914FF9"/>
    <w:rsid w:val="3ACCD9A1"/>
    <w:rsid w:val="3ACD3B57"/>
    <w:rsid w:val="3C6E3084"/>
    <w:rsid w:val="3E3C34CE"/>
    <w:rsid w:val="3F5E4A90"/>
    <w:rsid w:val="40FA362C"/>
    <w:rsid w:val="46C663AB"/>
    <w:rsid w:val="49A14B2D"/>
    <w:rsid w:val="4EFD55F3"/>
    <w:rsid w:val="5043249A"/>
    <w:rsid w:val="51B9731A"/>
    <w:rsid w:val="52157E66"/>
    <w:rsid w:val="527D7419"/>
    <w:rsid w:val="533E5655"/>
    <w:rsid w:val="545F186C"/>
    <w:rsid w:val="55A25EE4"/>
    <w:rsid w:val="57F80F6E"/>
    <w:rsid w:val="5914455E"/>
    <w:rsid w:val="5960230F"/>
    <w:rsid w:val="5DE46FE7"/>
    <w:rsid w:val="5EA22A81"/>
    <w:rsid w:val="5F0B4ACB"/>
    <w:rsid w:val="622D31C0"/>
    <w:rsid w:val="669C06FE"/>
    <w:rsid w:val="67A9792D"/>
    <w:rsid w:val="6ADE2C12"/>
    <w:rsid w:val="6C5850C7"/>
    <w:rsid w:val="6FCC3E02"/>
    <w:rsid w:val="714300F4"/>
    <w:rsid w:val="72D80D10"/>
    <w:rsid w:val="759B25E6"/>
    <w:rsid w:val="77C96155"/>
    <w:rsid w:val="7AD23884"/>
    <w:rsid w:val="7D6B6782"/>
    <w:rsid w:val="7FA2692E"/>
    <w:rsid w:val="A2FF052A"/>
    <w:rsid w:val="F4BE4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Indent 2"/>
    <w:basedOn w:val="1"/>
    <w:autoRedefine/>
    <w:qFormat/>
    <w:uiPriority w:val="0"/>
    <w:pPr>
      <w:spacing w:after="120" w:afterLines="0" w:afterAutospacing="0" w:line="480" w:lineRule="auto"/>
      <w:ind w:left="420" w:leftChars="200"/>
    </w:pPr>
  </w:style>
  <w:style w:type="paragraph" w:styleId="3">
    <w:name w:val="Body Text"/>
    <w:basedOn w:val="1"/>
    <w:autoRedefine/>
    <w:unhideWhenUsed/>
    <w:qFormat/>
    <w:uiPriority w:val="99"/>
    <w:pPr>
      <w:spacing w:after="12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autoRedefine/>
    <w:qFormat/>
    <w:uiPriority w:val="0"/>
    <w:pPr>
      <w:widowControl w:val="0"/>
      <w:snapToGrid w:val="0"/>
      <w:spacing w:line="260" w:lineRule="auto"/>
      <w:ind w:firstLine="624" w:firstLineChars="200"/>
    </w:pPr>
    <w:rPr>
      <w:rFonts w:ascii="Calibri" w:hAnsi="Calibri" w:eastAsia="仿宋_GB2312" w:cs="Times New Roman"/>
      <w:kern w:val="2"/>
      <w:sz w:val="32"/>
      <w:szCs w:val="22"/>
      <w:lang w:val="en-US" w:eastAsia="zh-CN" w:bidi="ar-SA"/>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2820</Words>
  <Characters>2879</Characters>
  <Lines>0</Lines>
  <Paragraphs>0</Paragraphs>
  <TotalTime>40</TotalTime>
  <ScaleCrop>false</ScaleCrop>
  <LinksUpToDate>false</LinksUpToDate>
  <CharactersWithSpaces>2881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2022-12-01T23:13:00Z</dcterms:created>
  <dc:creator>Cecilia</dc:creator>
  <cp:lastModifiedBy>Administrator</cp:lastModifiedBy>
  <cp:lastPrinted>2023-11-30T02:01:00Z</cp:lastPrinted>
  <dcterms:modified xsi:type="dcterms:W3CDTF">2024-01-29T03:09:18Z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10D2F97708204B6BB5ABDAC4CF4911FE</vt:lpwstr>
  </property>
</Properties>
</file>