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4"/>
      <w:r>
        <w:rPr>
          <w:rFonts w:hint="eastAsia" w:ascii="方正小标宋_GBK" w:hAnsi="方正小标宋_GBK" w:eastAsia="方正小标宋_GBK"/>
          <w:b w:val="0"/>
          <w:bCs w:val="0"/>
          <w:sz w:val="30"/>
        </w:rPr>
        <w:t>（十一）</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0"/>
    </w:p>
    <w:tbl>
      <w:tblPr>
        <w:tblStyle w:val="3"/>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275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实时公开</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jc w:val="left"/>
              <w:rPr>
                <w:rFonts w:ascii="仿宋_GB2312" w:hAnsi="宋体" w:eastAsia="仿宋_GB2312"/>
                <w:color w:val="000000"/>
                <w:sz w:val="18"/>
                <w:szCs w:val="18"/>
              </w:rPr>
            </w:pP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vAlign w:val="center"/>
          </w:tcPr>
          <w:p>
            <w:pPr>
              <w:widowControl/>
              <w:jc w:val="left"/>
              <w:rPr>
                <w:rFonts w:ascii="仿宋_GB2312" w:hAnsi="宋体" w:eastAsia="仿宋_GB2312"/>
                <w:color w:val="000000"/>
                <w:sz w:val="18"/>
                <w:szCs w:val="18"/>
              </w:rPr>
            </w:pP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4</w:t>
            </w:r>
          </w:p>
        </w:tc>
        <w:tc>
          <w:tcPr>
            <w:tcW w:w="720" w:type="dxa"/>
            <w:vMerge w:val="restart"/>
            <w:vAlign w:val="center"/>
          </w:tcPr>
          <w:p>
            <w:pPr>
              <w:jc w:val="left"/>
              <w:rPr>
                <w:rFonts w:hint="eastAsia"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规划编制</w:t>
            </w:r>
          </w:p>
        </w:tc>
        <w:tc>
          <w:tcPr>
            <w:tcW w:w="1080" w:type="dxa"/>
            <w:vAlign w:val="center"/>
          </w:tcPr>
          <w:p>
            <w:pPr>
              <w:widowControl/>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城市、镇总体规划及同级的</w:t>
            </w:r>
            <w:r>
              <w:rPr>
                <w:rFonts w:hint="eastAsia" w:ascii="仿宋_GB2312" w:hAnsi="宋体" w:eastAsia="仿宋_GB2312"/>
                <w:color w:val="000000" w:themeColor="text1"/>
                <w:sz w:val="18"/>
                <w:szCs w:val="18"/>
                <w:lang w:eastAsia="zh-CN"/>
                <w14:textFill>
                  <w14:solidFill>
                    <w14:schemeClr w14:val="tx1"/>
                  </w14:solidFill>
                </w14:textFill>
              </w:rPr>
              <w:t>国土空间</w:t>
            </w:r>
            <w:r>
              <w:rPr>
                <w:rFonts w:hint="eastAsia" w:ascii="仿宋_GB2312" w:hAnsi="宋体" w:eastAsia="仿宋_GB2312"/>
                <w:color w:val="000000" w:themeColor="text1"/>
                <w:sz w:val="18"/>
                <w:szCs w:val="18"/>
                <w14:textFill>
                  <w14:solidFill>
                    <w14:schemeClr w14:val="tx1"/>
                  </w14:solidFill>
                </w14:textFill>
              </w:rPr>
              <w:t>规划</w:t>
            </w:r>
          </w:p>
        </w:tc>
        <w:tc>
          <w:tcPr>
            <w:tcW w:w="1800" w:type="dxa"/>
            <w:vAlign w:val="center"/>
          </w:tcPr>
          <w:p>
            <w:pPr>
              <w:widowControl/>
              <w:jc w:val="left"/>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规划批准文件、脱密后的文本</w:t>
            </w:r>
            <w:r>
              <w:rPr>
                <w:rFonts w:hint="eastAsia" w:ascii="仿宋_GB2312" w:hAnsi="宋体" w:eastAsia="仿宋_GB2312"/>
                <w:color w:val="000000" w:themeColor="text1"/>
                <w:sz w:val="18"/>
                <w:szCs w:val="18"/>
                <w14:textFill>
                  <w14:solidFill>
                    <w14:schemeClr w14:val="tx1"/>
                  </w14:solidFill>
                </w14:textFill>
              </w:rPr>
              <w:t>及</w:t>
            </w:r>
            <w:r>
              <w:rPr>
                <w:rFonts w:ascii="仿宋_GB2312" w:hAnsi="宋体" w:eastAsia="仿宋_GB2312"/>
                <w:color w:val="000000" w:themeColor="text1"/>
                <w:sz w:val="18"/>
                <w:szCs w:val="18"/>
                <w14:textFill>
                  <w14:solidFill>
                    <w14:schemeClr w14:val="tx1"/>
                  </w14:solidFill>
                </w14:textFill>
              </w:rPr>
              <w:t>图</w:t>
            </w:r>
            <w:r>
              <w:rPr>
                <w:rFonts w:hint="eastAsia" w:ascii="仿宋_GB2312" w:hAnsi="宋体" w:eastAsia="仿宋_GB2312"/>
                <w:color w:val="000000" w:themeColor="text1"/>
                <w:sz w:val="18"/>
                <w:szCs w:val="18"/>
                <w14:textFill>
                  <w14:solidFill>
                    <w14:schemeClr w14:val="tx1"/>
                  </w14:solidFill>
                </w14:textFill>
              </w:rPr>
              <w:t>纸</w:t>
            </w:r>
            <w:r>
              <w:rPr>
                <w:rFonts w:ascii="仿宋_GB2312" w:hAnsi="宋体" w:eastAsia="仿宋_GB2312"/>
                <w:color w:val="000000" w:themeColor="text1"/>
                <w:sz w:val="18"/>
                <w:szCs w:val="18"/>
                <w14:textFill>
                  <w14:solidFill>
                    <w14:schemeClr w14:val="tx1"/>
                  </w14:solidFill>
                </w14:textFill>
              </w:rPr>
              <w:t>等</w:t>
            </w:r>
          </w:p>
        </w:tc>
        <w:tc>
          <w:tcPr>
            <w:tcW w:w="2160" w:type="dxa"/>
            <w:vAlign w:val="center"/>
          </w:tcPr>
          <w:p>
            <w:pPr>
              <w:widowControl/>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《土地管理法》</w:t>
            </w:r>
            <w:r>
              <w:rPr>
                <w:rFonts w:hint="eastAsia" w:ascii="仿宋_GB2312" w:hAnsi="宋体" w:eastAsia="仿宋_GB2312"/>
                <w:color w:val="000000" w:themeColor="text1"/>
                <w:sz w:val="18"/>
                <w:szCs w:val="18"/>
                <w14:textFill>
                  <w14:solidFill>
                    <w14:schemeClr w14:val="tx1"/>
                  </w14:solidFill>
                </w14:textFill>
              </w:rPr>
              <w:t>、</w:t>
            </w:r>
            <w:r>
              <w:rPr>
                <w:rFonts w:ascii="仿宋_GB2312" w:hAnsi="宋体" w:eastAsia="仿宋_GB2312"/>
                <w:color w:val="000000" w:themeColor="text1"/>
                <w:sz w:val="18"/>
                <w:szCs w:val="18"/>
                <w14:textFill>
                  <w14:solidFill>
                    <w14:schemeClr w14:val="tx1"/>
                  </w14:solidFill>
                </w14:textFill>
              </w:rPr>
              <w:t>《城乡规划法》</w:t>
            </w:r>
            <w:r>
              <w:rPr>
                <w:rFonts w:hint="eastAsia" w:ascii="仿宋_GB2312" w:hAnsi="宋体" w:eastAsia="仿宋_GB2312"/>
                <w:color w:val="000000" w:themeColor="text1"/>
                <w:sz w:val="18"/>
                <w:szCs w:val="18"/>
                <w14:textFill>
                  <w14:solidFill>
                    <w14:schemeClr w14:val="tx1"/>
                  </w14:solidFill>
                </w14:textFill>
              </w:rPr>
              <w:t>、</w:t>
            </w:r>
            <w:r>
              <w:rPr>
                <w:rFonts w:ascii="仿宋_GB2312" w:hAnsi="宋体" w:eastAsia="仿宋_GB2312"/>
                <w:color w:val="000000" w:themeColor="text1"/>
                <w:sz w:val="18"/>
                <w:szCs w:val="18"/>
                <w14:textFill>
                  <w14:solidFill>
                    <w14:schemeClr w14:val="tx1"/>
                  </w14:solidFill>
                </w14:textFill>
              </w:rPr>
              <w:t>《政府信息公开条</w:t>
            </w:r>
            <w:bookmarkStart w:id="1" w:name="_GoBack"/>
            <w:bookmarkEnd w:id="1"/>
            <w:r>
              <w:rPr>
                <w:rFonts w:ascii="仿宋_GB2312" w:hAnsi="宋体" w:eastAsia="仿宋_GB2312"/>
                <w:color w:val="000000" w:themeColor="text1"/>
                <w:sz w:val="18"/>
                <w:szCs w:val="18"/>
                <w14:textFill>
                  <w14:solidFill>
                    <w14:schemeClr w14:val="tx1"/>
                  </w14:solidFill>
                </w14:textFill>
              </w:rPr>
              <w:t>例》</w:t>
            </w:r>
          </w:p>
        </w:tc>
        <w:tc>
          <w:tcPr>
            <w:tcW w:w="1440" w:type="dxa"/>
            <w:vAlign w:val="center"/>
          </w:tcPr>
          <w:p>
            <w:pPr>
              <w:widowControl/>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信息形成或者变更之日起20个工作日内</w:t>
            </w:r>
          </w:p>
        </w:tc>
        <w:tc>
          <w:tcPr>
            <w:tcW w:w="1080" w:type="dxa"/>
            <w:vAlign w:val="center"/>
          </w:tcPr>
          <w:p>
            <w:pPr>
              <w:widowControl/>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规划编研中心</w:t>
            </w:r>
          </w:p>
        </w:tc>
        <w:tc>
          <w:tcPr>
            <w:tcW w:w="2756" w:type="dxa"/>
            <w:vAlign w:val="center"/>
          </w:tcPr>
          <w:p>
            <w:pPr>
              <w:widowControl/>
              <w:rPr>
                <w:rFonts w:hint="eastAsia"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■政府网站</w:t>
            </w:r>
            <w:r>
              <w:rPr>
                <w:rFonts w:hint="eastAsia" w:ascii="仿宋_GB2312" w:hAnsi="宋体" w:eastAsia="仿宋_GB2312"/>
                <w:color w:val="000000" w:themeColor="text1"/>
                <w:sz w:val="18"/>
                <w:szCs w:val="18"/>
                <w14:textFill>
                  <w14:solidFill>
                    <w14:schemeClr w14:val="tx1"/>
                  </w14:solidFill>
                </w14:textFill>
              </w:rPr>
              <w:t xml:space="preserve">  </w:t>
            </w:r>
            <w:r>
              <w:rPr>
                <w:rFonts w:ascii="仿宋_GB2312" w:hAnsi="宋体" w:eastAsia="仿宋_GB2312"/>
                <w:color w:val="000000" w:themeColor="text1"/>
                <w:sz w:val="18"/>
                <w:szCs w:val="18"/>
                <w14:textFill>
                  <w14:solidFill>
                    <w14:schemeClr w14:val="tx1"/>
                  </w14:solidFill>
                </w14:textFill>
              </w:rPr>
              <w:t>■两微一端</w:t>
            </w:r>
          </w:p>
          <w:p>
            <w:pPr>
              <w:widowControl/>
              <w:jc w:val="left"/>
              <w:rPr>
                <w:rFonts w:hint="eastAsia"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■公开查阅点</w:t>
            </w:r>
            <w:r>
              <w:rPr>
                <w:rFonts w:hint="eastAsia" w:ascii="仿宋_GB2312" w:hAnsi="宋体" w:eastAsia="仿宋_GB2312"/>
                <w:color w:val="000000" w:themeColor="text1"/>
                <w:sz w:val="18"/>
                <w:szCs w:val="18"/>
                <w14:textFill>
                  <w14:solidFill>
                    <w14:schemeClr w14:val="tx1"/>
                  </w14:solidFill>
                </w14:textFill>
              </w:rPr>
              <w:br w:type="textWrapping"/>
            </w:r>
            <w:r>
              <w:rPr>
                <w:rFonts w:ascii="仿宋_GB2312" w:hAnsi="宋体" w:eastAsia="仿宋_GB2312"/>
                <w:color w:val="000000" w:themeColor="text1"/>
                <w:sz w:val="18"/>
                <w:szCs w:val="18"/>
                <w14:textFill>
                  <w14:solidFill>
                    <w14:schemeClr w14:val="tx1"/>
                  </w14:solidFill>
                </w14:textFill>
              </w:rPr>
              <w:t>■政府服务中心</w:t>
            </w:r>
          </w:p>
        </w:tc>
        <w:tc>
          <w:tcPr>
            <w:tcW w:w="720"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w:t>
            </w:r>
          </w:p>
        </w:tc>
        <w:tc>
          <w:tcPr>
            <w:tcW w:w="709" w:type="dxa"/>
            <w:vAlign w:val="center"/>
          </w:tcPr>
          <w:p>
            <w:pPr>
              <w:widowControl/>
              <w:jc w:val="center"/>
              <w:rPr>
                <w:rFonts w:hint="eastAsia" w:ascii="仿宋_GB2312" w:hAnsi="宋体" w:eastAsia="仿宋_GB2312"/>
                <w:color w:val="000000" w:themeColor="text1"/>
                <w:sz w:val="18"/>
                <w:szCs w:val="18"/>
                <w14:textFill>
                  <w14:solidFill>
                    <w14:schemeClr w14:val="tx1"/>
                  </w14:solidFill>
                </w14:textFill>
              </w:rPr>
            </w:pPr>
          </w:p>
        </w:tc>
        <w:tc>
          <w:tcPr>
            <w:tcW w:w="551"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w:t>
            </w:r>
          </w:p>
        </w:tc>
        <w:tc>
          <w:tcPr>
            <w:tcW w:w="720"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p>
        </w:tc>
        <w:tc>
          <w:tcPr>
            <w:tcW w:w="720"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w:t>
            </w:r>
          </w:p>
        </w:tc>
        <w:tc>
          <w:tcPr>
            <w:tcW w:w="720" w:type="dxa"/>
            <w:vAlign w:val="center"/>
          </w:tcPr>
          <w:p>
            <w:pPr>
              <w:widowControl/>
              <w:jc w:val="center"/>
              <w:rPr>
                <w:rFonts w:ascii="仿宋_GB2312" w:hAnsi="宋体" w:eastAsia="仿宋_GB2312"/>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5</w:t>
            </w:r>
          </w:p>
        </w:tc>
        <w:tc>
          <w:tcPr>
            <w:tcW w:w="720" w:type="dxa"/>
            <w:vMerge w:val="continue"/>
            <w:vAlign w:val="center"/>
          </w:tcPr>
          <w:p>
            <w:pPr>
              <w:jc w:val="center"/>
              <w:rPr>
                <w:rFonts w:ascii="仿宋_GB2312" w:hAnsi="宋体" w:eastAsia="仿宋_GB2312"/>
                <w:color w:val="000000" w:themeColor="text1"/>
                <w:sz w:val="18"/>
                <w:szCs w:val="18"/>
                <w14:textFill>
                  <w14:solidFill>
                    <w14:schemeClr w14:val="tx1"/>
                  </w14:solidFill>
                </w14:textFill>
              </w:rPr>
            </w:pPr>
          </w:p>
        </w:tc>
        <w:tc>
          <w:tcPr>
            <w:tcW w:w="1080" w:type="dxa"/>
            <w:vAlign w:val="center"/>
          </w:tcPr>
          <w:p>
            <w:pPr>
              <w:widowControl/>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乡规划及同级的</w:t>
            </w:r>
            <w:r>
              <w:rPr>
                <w:rFonts w:hint="eastAsia" w:ascii="仿宋_GB2312" w:hAnsi="宋体" w:eastAsia="仿宋_GB2312"/>
                <w:color w:val="000000" w:themeColor="text1"/>
                <w:sz w:val="18"/>
                <w:szCs w:val="18"/>
                <w:lang w:eastAsia="zh-CN"/>
                <w14:textFill>
                  <w14:solidFill>
                    <w14:schemeClr w14:val="tx1"/>
                  </w14:solidFill>
                </w14:textFill>
              </w:rPr>
              <w:t>国土空间</w:t>
            </w:r>
            <w:r>
              <w:rPr>
                <w:rFonts w:hint="eastAsia" w:ascii="仿宋_GB2312" w:hAnsi="宋体" w:eastAsia="仿宋_GB2312"/>
                <w:color w:val="000000" w:themeColor="text1"/>
                <w:sz w:val="18"/>
                <w:szCs w:val="18"/>
                <w14:textFill>
                  <w14:solidFill>
                    <w14:schemeClr w14:val="tx1"/>
                  </w14:solidFill>
                </w14:textFill>
              </w:rPr>
              <w:t>规划</w:t>
            </w:r>
          </w:p>
        </w:tc>
        <w:tc>
          <w:tcPr>
            <w:tcW w:w="1800" w:type="dxa"/>
            <w:vAlign w:val="center"/>
          </w:tcPr>
          <w:p>
            <w:pPr>
              <w:widowControl/>
              <w:jc w:val="left"/>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脱密后的文本</w:t>
            </w:r>
            <w:r>
              <w:rPr>
                <w:rFonts w:hint="eastAsia" w:ascii="仿宋_GB2312" w:hAnsi="宋体" w:eastAsia="仿宋_GB2312"/>
                <w:color w:val="000000" w:themeColor="text1"/>
                <w:sz w:val="18"/>
                <w:szCs w:val="18"/>
                <w14:textFill>
                  <w14:solidFill>
                    <w14:schemeClr w14:val="tx1"/>
                  </w14:solidFill>
                </w14:textFill>
              </w:rPr>
              <w:t>及图纸</w:t>
            </w:r>
            <w:r>
              <w:rPr>
                <w:rFonts w:ascii="仿宋_GB2312" w:hAnsi="宋体" w:eastAsia="仿宋_GB2312"/>
                <w:color w:val="000000" w:themeColor="text1"/>
                <w:sz w:val="18"/>
                <w:szCs w:val="18"/>
                <w14:textFill>
                  <w14:solidFill>
                    <w14:schemeClr w14:val="tx1"/>
                  </w14:solidFill>
                </w14:textFill>
              </w:rPr>
              <w:t>等</w:t>
            </w:r>
          </w:p>
        </w:tc>
        <w:tc>
          <w:tcPr>
            <w:tcW w:w="2160" w:type="dxa"/>
            <w:vAlign w:val="center"/>
          </w:tcPr>
          <w:p>
            <w:pPr>
              <w:widowControl/>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《土地管理法》</w:t>
            </w:r>
            <w:r>
              <w:rPr>
                <w:rFonts w:hint="eastAsia" w:ascii="仿宋_GB2312" w:hAnsi="宋体" w:eastAsia="仿宋_GB2312"/>
                <w:color w:val="000000" w:themeColor="text1"/>
                <w:sz w:val="18"/>
                <w:szCs w:val="18"/>
                <w14:textFill>
                  <w14:solidFill>
                    <w14:schemeClr w14:val="tx1"/>
                  </w14:solidFill>
                </w14:textFill>
              </w:rPr>
              <w:t>、</w:t>
            </w:r>
            <w:r>
              <w:rPr>
                <w:rFonts w:ascii="仿宋_GB2312" w:hAnsi="宋体" w:eastAsia="仿宋_GB2312"/>
                <w:color w:val="000000" w:themeColor="text1"/>
                <w:sz w:val="18"/>
                <w:szCs w:val="18"/>
                <w14:textFill>
                  <w14:solidFill>
                    <w14:schemeClr w14:val="tx1"/>
                  </w14:solidFill>
                </w14:textFill>
              </w:rPr>
              <w:t>《城乡规划法》</w:t>
            </w:r>
            <w:r>
              <w:rPr>
                <w:rFonts w:hint="eastAsia" w:ascii="仿宋_GB2312" w:hAnsi="宋体" w:eastAsia="仿宋_GB2312"/>
                <w:color w:val="000000" w:themeColor="text1"/>
                <w:sz w:val="18"/>
                <w:szCs w:val="18"/>
                <w14:textFill>
                  <w14:solidFill>
                    <w14:schemeClr w14:val="tx1"/>
                  </w14:solidFill>
                </w14:textFill>
              </w:rPr>
              <w:t>、</w:t>
            </w:r>
            <w:r>
              <w:rPr>
                <w:rFonts w:ascii="仿宋_GB2312" w:hAnsi="宋体" w:eastAsia="仿宋_GB2312"/>
                <w:color w:val="000000" w:themeColor="text1"/>
                <w:sz w:val="18"/>
                <w:szCs w:val="18"/>
                <w14:textFill>
                  <w14:solidFill>
                    <w14:schemeClr w14:val="tx1"/>
                  </w14:solidFill>
                </w14:textFill>
              </w:rPr>
              <w:t>《政府信息公开条例》</w:t>
            </w:r>
          </w:p>
        </w:tc>
        <w:tc>
          <w:tcPr>
            <w:tcW w:w="1440" w:type="dxa"/>
            <w:vAlign w:val="center"/>
          </w:tcPr>
          <w:p>
            <w:pPr>
              <w:widowControl/>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信息形成或者变更之日起20个工作日内</w:t>
            </w:r>
          </w:p>
        </w:tc>
        <w:tc>
          <w:tcPr>
            <w:tcW w:w="1080"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规划编研中心</w:t>
            </w:r>
          </w:p>
        </w:tc>
        <w:tc>
          <w:tcPr>
            <w:tcW w:w="2756" w:type="dxa"/>
            <w:vAlign w:val="center"/>
          </w:tcPr>
          <w:p>
            <w:pPr>
              <w:widowControl/>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 xml:space="preserve">■政府网站 </w:t>
            </w:r>
            <w:r>
              <w:rPr>
                <w:rFonts w:hint="eastAsia" w:ascii="仿宋_GB2312" w:hAnsi="宋体" w:eastAsia="仿宋_GB2312"/>
                <w:color w:val="000000" w:themeColor="text1"/>
                <w:sz w:val="18"/>
                <w:szCs w:val="18"/>
                <w14:textFill>
                  <w14:solidFill>
                    <w14:schemeClr w14:val="tx1"/>
                  </w14:solidFill>
                </w14:textFill>
              </w:rPr>
              <w:t xml:space="preserve"> </w:t>
            </w:r>
            <w:r>
              <w:rPr>
                <w:rFonts w:ascii="仿宋_GB2312" w:hAnsi="宋体" w:eastAsia="仿宋_GB2312"/>
                <w:color w:val="000000" w:themeColor="text1"/>
                <w:sz w:val="18"/>
                <w:szCs w:val="18"/>
                <w14:textFill>
                  <w14:solidFill>
                    <w14:schemeClr w14:val="tx1"/>
                  </w14:solidFill>
                </w14:textFill>
              </w:rPr>
              <w:t>■两微一端</w:t>
            </w:r>
          </w:p>
          <w:p>
            <w:pPr>
              <w:widowControl/>
              <w:rPr>
                <w:rFonts w:hint="eastAsia"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■公开查阅点■政府服务中心</w:t>
            </w:r>
          </w:p>
        </w:tc>
        <w:tc>
          <w:tcPr>
            <w:tcW w:w="720"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w:t>
            </w:r>
          </w:p>
        </w:tc>
        <w:tc>
          <w:tcPr>
            <w:tcW w:w="709" w:type="dxa"/>
            <w:vAlign w:val="center"/>
          </w:tcPr>
          <w:p>
            <w:pPr>
              <w:widowControl/>
              <w:jc w:val="center"/>
              <w:rPr>
                <w:rFonts w:hint="eastAsia" w:ascii="仿宋_GB2312" w:hAnsi="宋体" w:eastAsia="仿宋_GB2312"/>
                <w:color w:val="000000" w:themeColor="text1"/>
                <w:sz w:val="18"/>
                <w:szCs w:val="18"/>
                <w14:textFill>
                  <w14:solidFill>
                    <w14:schemeClr w14:val="tx1"/>
                  </w14:solidFill>
                </w14:textFill>
              </w:rPr>
            </w:pPr>
          </w:p>
        </w:tc>
        <w:tc>
          <w:tcPr>
            <w:tcW w:w="551"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w:t>
            </w:r>
          </w:p>
        </w:tc>
        <w:tc>
          <w:tcPr>
            <w:tcW w:w="720"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p>
        </w:tc>
        <w:tc>
          <w:tcPr>
            <w:tcW w:w="720"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w:t>
            </w:r>
          </w:p>
        </w:tc>
        <w:tc>
          <w:tcPr>
            <w:tcW w:w="720" w:type="dxa"/>
            <w:vAlign w:val="center"/>
          </w:tcPr>
          <w:p>
            <w:pPr>
              <w:widowControl/>
              <w:jc w:val="center"/>
              <w:rPr>
                <w:rFonts w:ascii="仿宋_GB2312" w:hAnsi="宋体" w:eastAsia="仿宋_GB2312"/>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6</w:t>
            </w:r>
          </w:p>
        </w:tc>
        <w:tc>
          <w:tcPr>
            <w:tcW w:w="720" w:type="dxa"/>
            <w:vMerge w:val="continue"/>
            <w:vAlign w:val="center"/>
          </w:tcPr>
          <w:p>
            <w:pPr>
              <w:widowControl/>
              <w:jc w:val="center"/>
              <w:rPr>
                <w:rFonts w:hint="eastAsia" w:ascii="仿宋_GB2312" w:hAnsi="宋体" w:eastAsia="仿宋_GB2312"/>
                <w:color w:val="000000" w:themeColor="text1"/>
                <w:sz w:val="18"/>
                <w:szCs w:val="18"/>
                <w14:textFill>
                  <w14:solidFill>
                    <w14:schemeClr w14:val="tx1"/>
                  </w14:solidFill>
                </w14:textFill>
              </w:rPr>
            </w:pPr>
          </w:p>
        </w:tc>
        <w:tc>
          <w:tcPr>
            <w:tcW w:w="1080" w:type="dxa"/>
            <w:vAlign w:val="center"/>
          </w:tcPr>
          <w:p>
            <w:pPr>
              <w:widowControl/>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城市、镇详细规划</w:t>
            </w:r>
          </w:p>
        </w:tc>
        <w:tc>
          <w:tcPr>
            <w:tcW w:w="1800" w:type="dxa"/>
            <w:vAlign w:val="center"/>
          </w:tcPr>
          <w:p>
            <w:pPr>
              <w:widowControl/>
              <w:jc w:val="left"/>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脱密后的文本及</w:t>
            </w:r>
            <w:r>
              <w:rPr>
                <w:rFonts w:hint="eastAsia" w:ascii="仿宋_GB2312" w:hAnsi="宋体" w:eastAsia="仿宋_GB2312"/>
                <w:color w:val="000000" w:themeColor="text1"/>
                <w:sz w:val="18"/>
                <w:szCs w:val="18"/>
                <w14:textFill>
                  <w14:solidFill>
                    <w14:schemeClr w14:val="tx1"/>
                  </w14:solidFill>
                </w14:textFill>
              </w:rPr>
              <w:t>图表</w:t>
            </w:r>
            <w:r>
              <w:rPr>
                <w:rFonts w:ascii="仿宋_GB2312" w:hAnsi="宋体" w:eastAsia="仿宋_GB2312"/>
                <w:color w:val="000000" w:themeColor="text1"/>
                <w:sz w:val="18"/>
                <w:szCs w:val="18"/>
                <w14:textFill>
                  <w14:solidFill>
                    <w14:schemeClr w14:val="tx1"/>
                  </w14:solidFill>
                </w14:textFill>
              </w:rPr>
              <w:t>等</w:t>
            </w:r>
          </w:p>
        </w:tc>
        <w:tc>
          <w:tcPr>
            <w:tcW w:w="2160" w:type="dxa"/>
            <w:vAlign w:val="center"/>
          </w:tcPr>
          <w:p>
            <w:pPr>
              <w:widowControl/>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《城乡规划法》</w:t>
            </w:r>
            <w:r>
              <w:rPr>
                <w:rFonts w:hint="eastAsia" w:ascii="仿宋_GB2312" w:hAnsi="宋体" w:eastAsia="仿宋_GB2312"/>
                <w:color w:val="000000" w:themeColor="text1"/>
                <w:sz w:val="18"/>
                <w:szCs w:val="18"/>
                <w14:textFill>
                  <w14:solidFill>
                    <w14:schemeClr w14:val="tx1"/>
                  </w14:solidFill>
                </w14:textFill>
              </w:rPr>
              <w:t>、</w:t>
            </w:r>
            <w:r>
              <w:rPr>
                <w:rFonts w:ascii="仿宋_GB2312" w:hAnsi="宋体" w:eastAsia="仿宋_GB2312"/>
                <w:color w:val="000000" w:themeColor="text1"/>
                <w:sz w:val="18"/>
                <w:szCs w:val="18"/>
                <w14:textFill>
                  <w14:solidFill>
                    <w14:schemeClr w14:val="tx1"/>
                  </w14:solidFill>
                </w14:textFill>
              </w:rPr>
              <w:t>《政府信息公开条例》</w:t>
            </w:r>
          </w:p>
        </w:tc>
        <w:tc>
          <w:tcPr>
            <w:tcW w:w="1440" w:type="dxa"/>
            <w:vAlign w:val="center"/>
          </w:tcPr>
          <w:p>
            <w:pPr>
              <w:widowControl/>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信息形成或者变更之日起20个工作日内</w:t>
            </w:r>
          </w:p>
        </w:tc>
        <w:tc>
          <w:tcPr>
            <w:tcW w:w="1080"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规划编研中心</w:t>
            </w:r>
          </w:p>
        </w:tc>
        <w:tc>
          <w:tcPr>
            <w:tcW w:w="2756" w:type="dxa"/>
            <w:vAlign w:val="center"/>
          </w:tcPr>
          <w:p>
            <w:pPr>
              <w:widowControl/>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■政府网站</w:t>
            </w:r>
            <w:r>
              <w:rPr>
                <w:rFonts w:hint="eastAsia" w:ascii="仿宋_GB2312" w:hAnsi="宋体" w:eastAsia="仿宋_GB2312"/>
                <w:color w:val="000000" w:themeColor="text1"/>
                <w:sz w:val="18"/>
                <w:szCs w:val="18"/>
                <w14:textFill>
                  <w14:solidFill>
                    <w14:schemeClr w14:val="tx1"/>
                  </w14:solidFill>
                </w14:textFill>
              </w:rPr>
              <w:t xml:space="preserve">  </w:t>
            </w:r>
            <w:r>
              <w:rPr>
                <w:rFonts w:ascii="仿宋_GB2312" w:hAnsi="宋体" w:eastAsia="仿宋_GB2312"/>
                <w:color w:val="000000" w:themeColor="text1"/>
                <w:sz w:val="18"/>
                <w:szCs w:val="18"/>
                <w14:textFill>
                  <w14:solidFill>
                    <w14:schemeClr w14:val="tx1"/>
                  </w14:solidFill>
                </w14:textFill>
              </w:rPr>
              <w:t xml:space="preserve">■两微一端 </w:t>
            </w:r>
          </w:p>
          <w:p>
            <w:pPr>
              <w:widowControl/>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 xml:space="preserve">■公开查阅点■政府服务中心 </w:t>
            </w:r>
          </w:p>
        </w:tc>
        <w:tc>
          <w:tcPr>
            <w:tcW w:w="720"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w:t>
            </w:r>
          </w:p>
        </w:tc>
        <w:tc>
          <w:tcPr>
            <w:tcW w:w="709"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p>
        </w:tc>
        <w:tc>
          <w:tcPr>
            <w:tcW w:w="551"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w:t>
            </w:r>
          </w:p>
        </w:tc>
        <w:tc>
          <w:tcPr>
            <w:tcW w:w="720"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p>
        </w:tc>
        <w:tc>
          <w:tcPr>
            <w:tcW w:w="720"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w:t>
            </w:r>
          </w:p>
        </w:tc>
        <w:tc>
          <w:tcPr>
            <w:tcW w:w="720" w:type="dxa"/>
            <w:vAlign w:val="center"/>
          </w:tcPr>
          <w:p>
            <w:pPr>
              <w:widowControl/>
              <w:jc w:val="center"/>
              <w:rPr>
                <w:rFonts w:ascii="仿宋_GB2312" w:hAnsi="宋体" w:eastAsia="仿宋_GB2312"/>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7</w:t>
            </w:r>
          </w:p>
        </w:tc>
        <w:tc>
          <w:tcPr>
            <w:tcW w:w="720"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规划编制</w:t>
            </w:r>
          </w:p>
        </w:tc>
        <w:tc>
          <w:tcPr>
            <w:tcW w:w="1080" w:type="dxa"/>
            <w:vAlign w:val="center"/>
          </w:tcPr>
          <w:p>
            <w:pPr>
              <w:widowControl/>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部分村庄编制完成的</w:t>
            </w:r>
            <w:r>
              <w:rPr>
                <w:rFonts w:ascii="仿宋_GB2312" w:hAnsi="宋体" w:eastAsia="仿宋_GB2312"/>
                <w:color w:val="000000" w:themeColor="text1"/>
                <w:sz w:val="18"/>
                <w:szCs w:val="18"/>
                <w14:textFill>
                  <w14:solidFill>
                    <w14:schemeClr w14:val="tx1"/>
                  </w14:solidFill>
                </w14:textFill>
              </w:rPr>
              <w:t>村庄规划</w:t>
            </w:r>
          </w:p>
        </w:tc>
        <w:tc>
          <w:tcPr>
            <w:tcW w:w="1800" w:type="dxa"/>
            <w:vAlign w:val="center"/>
          </w:tcPr>
          <w:p>
            <w:pPr>
              <w:widowControl/>
              <w:jc w:val="left"/>
              <w:rPr>
                <w:rFonts w:hint="eastAsia"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脱密后的文本及附图等</w:t>
            </w:r>
          </w:p>
        </w:tc>
        <w:tc>
          <w:tcPr>
            <w:tcW w:w="2160" w:type="dxa"/>
            <w:vAlign w:val="center"/>
          </w:tcPr>
          <w:p>
            <w:pPr>
              <w:widowControl/>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《土地管理法》</w:t>
            </w:r>
            <w:r>
              <w:rPr>
                <w:rFonts w:hint="eastAsia" w:ascii="仿宋_GB2312" w:hAnsi="宋体" w:eastAsia="仿宋_GB2312"/>
                <w:color w:val="000000" w:themeColor="text1"/>
                <w:sz w:val="18"/>
                <w:szCs w:val="18"/>
                <w14:textFill>
                  <w14:solidFill>
                    <w14:schemeClr w14:val="tx1"/>
                  </w14:solidFill>
                </w14:textFill>
              </w:rPr>
              <w:t>、</w:t>
            </w:r>
            <w:r>
              <w:rPr>
                <w:rFonts w:ascii="仿宋_GB2312" w:hAnsi="宋体" w:eastAsia="仿宋_GB2312"/>
                <w:color w:val="000000" w:themeColor="text1"/>
                <w:sz w:val="18"/>
                <w:szCs w:val="18"/>
                <w14:textFill>
                  <w14:solidFill>
                    <w14:schemeClr w14:val="tx1"/>
                  </w14:solidFill>
                </w14:textFill>
              </w:rPr>
              <w:t>《城乡规划法》</w:t>
            </w:r>
            <w:r>
              <w:rPr>
                <w:rFonts w:hint="eastAsia" w:ascii="仿宋_GB2312" w:hAnsi="宋体" w:eastAsia="仿宋_GB2312"/>
                <w:color w:val="000000" w:themeColor="text1"/>
                <w:sz w:val="18"/>
                <w:szCs w:val="18"/>
                <w14:textFill>
                  <w14:solidFill>
                    <w14:schemeClr w14:val="tx1"/>
                  </w14:solidFill>
                </w14:textFill>
              </w:rPr>
              <w:t>、</w:t>
            </w:r>
            <w:r>
              <w:rPr>
                <w:rFonts w:ascii="仿宋_GB2312" w:hAnsi="宋体" w:eastAsia="仿宋_GB2312"/>
                <w:color w:val="000000" w:themeColor="text1"/>
                <w:sz w:val="18"/>
                <w:szCs w:val="18"/>
                <w14:textFill>
                  <w14:solidFill>
                    <w14:schemeClr w14:val="tx1"/>
                  </w14:solidFill>
                </w14:textFill>
              </w:rPr>
              <w:t>《政府信息公开条例》</w:t>
            </w:r>
            <w:r>
              <w:rPr>
                <w:rFonts w:hint="eastAsia" w:ascii="仿宋_GB2312" w:hAnsi="宋体" w:eastAsia="仿宋_GB2312"/>
                <w:color w:val="000000" w:themeColor="text1"/>
                <w:sz w:val="18"/>
                <w:szCs w:val="18"/>
                <w14:textFill>
                  <w14:solidFill>
                    <w14:schemeClr w14:val="tx1"/>
                  </w14:solidFill>
                </w14:textFill>
              </w:rPr>
              <w:t>、《国土资源部关于有序开展村土地利用规划编制工作的指导意见》</w:t>
            </w:r>
          </w:p>
        </w:tc>
        <w:tc>
          <w:tcPr>
            <w:tcW w:w="1440" w:type="dxa"/>
            <w:vAlign w:val="center"/>
          </w:tcPr>
          <w:p>
            <w:pPr>
              <w:widowControl/>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信息形成或者变更之日起20个工作日内</w:t>
            </w:r>
          </w:p>
        </w:tc>
        <w:tc>
          <w:tcPr>
            <w:tcW w:w="1080"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规划编研中心</w:t>
            </w:r>
          </w:p>
        </w:tc>
        <w:tc>
          <w:tcPr>
            <w:tcW w:w="2756" w:type="dxa"/>
            <w:vAlign w:val="center"/>
          </w:tcPr>
          <w:p>
            <w:pPr>
              <w:widowControl/>
              <w:jc w:val="left"/>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■政府网站</w:t>
            </w:r>
            <w:r>
              <w:rPr>
                <w:rFonts w:hint="eastAsia" w:ascii="仿宋_GB2312" w:hAnsi="宋体" w:eastAsia="仿宋_GB2312"/>
                <w:color w:val="000000" w:themeColor="text1"/>
                <w:sz w:val="18"/>
                <w:szCs w:val="18"/>
                <w14:textFill>
                  <w14:solidFill>
                    <w14:schemeClr w14:val="tx1"/>
                  </w14:solidFill>
                </w14:textFill>
              </w:rPr>
              <w:t xml:space="preserve">  </w:t>
            </w:r>
            <w:r>
              <w:rPr>
                <w:rFonts w:ascii="仿宋_GB2312" w:hAnsi="宋体" w:eastAsia="仿宋_GB2312"/>
                <w:color w:val="000000" w:themeColor="text1"/>
                <w:sz w:val="18"/>
                <w:szCs w:val="18"/>
                <w14:textFill>
                  <w14:solidFill>
                    <w14:schemeClr w14:val="tx1"/>
                  </w14:solidFill>
                </w14:textFill>
              </w:rPr>
              <w:t>■两微一端</w:t>
            </w:r>
          </w:p>
          <w:p>
            <w:pPr>
              <w:widowControl/>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 xml:space="preserve">■公开查阅点■政府服务中心 </w:t>
            </w:r>
          </w:p>
        </w:tc>
        <w:tc>
          <w:tcPr>
            <w:tcW w:w="720"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w:t>
            </w:r>
          </w:p>
        </w:tc>
        <w:tc>
          <w:tcPr>
            <w:tcW w:w="709"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p>
        </w:tc>
        <w:tc>
          <w:tcPr>
            <w:tcW w:w="551"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w:t>
            </w:r>
          </w:p>
        </w:tc>
        <w:tc>
          <w:tcPr>
            <w:tcW w:w="720"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p>
        </w:tc>
        <w:tc>
          <w:tcPr>
            <w:tcW w:w="720" w:type="dxa"/>
            <w:vAlign w:val="center"/>
          </w:tcPr>
          <w:p>
            <w:pPr>
              <w:widowControl/>
              <w:jc w:val="center"/>
              <w:rPr>
                <w:rFonts w:ascii="仿宋_GB2312" w:hAnsi="宋体" w:eastAsia="仿宋_GB2312"/>
                <w:color w:val="000000" w:themeColor="text1"/>
                <w:sz w:val="18"/>
                <w:szCs w:val="18"/>
                <w14:textFill>
                  <w14:solidFill>
                    <w14:schemeClr w14:val="tx1"/>
                  </w14:solidFill>
                </w14:textFill>
              </w:rPr>
            </w:pPr>
            <w:r>
              <w:rPr>
                <w:rFonts w:ascii="仿宋_GB2312" w:hAnsi="宋体" w:eastAsia="仿宋_GB2312"/>
                <w:color w:val="000000" w:themeColor="text1"/>
                <w:sz w:val="18"/>
                <w:szCs w:val="18"/>
                <w14:textFill>
                  <w14:solidFill>
                    <w14:schemeClr w14:val="tx1"/>
                  </w14:solidFill>
                </w14:textFill>
              </w:rPr>
              <w:t>√</w:t>
            </w:r>
          </w:p>
        </w:tc>
        <w:tc>
          <w:tcPr>
            <w:tcW w:w="720" w:type="dxa"/>
            <w:vAlign w:val="center"/>
          </w:tcPr>
          <w:p>
            <w:pPr>
              <w:widowControl/>
              <w:jc w:val="center"/>
              <w:rPr>
                <w:rFonts w:ascii="仿宋_GB2312" w:hAnsi="宋体" w:eastAsia="仿宋_GB2312"/>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sym w:font="Wingdings 2" w:char="00A3"/>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vAlign w:val="center"/>
          </w:tcPr>
          <w:p>
            <w:pPr>
              <w:widowControl/>
              <w:jc w:val="center"/>
              <w:rPr>
                <w:rFonts w:ascii="仿宋_GB2312" w:hAnsi="宋体" w:eastAsia="仿宋_GB2312"/>
                <w:color w:val="000000"/>
                <w:sz w:val="18"/>
                <w:szCs w:val="18"/>
              </w:rPr>
            </w:pPr>
          </w:p>
        </w:tc>
        <w:tc>
          <w:tcPr>
            <w:tcW w:w="108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sym w:font="Wingdings 2" w:char="00A3"/>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vAlign w:val="center"/>
          </w:tcPr>
          <w:p>
            <w:pPr>
              <w:widowControl/>
              <w:jc w:val="center"/>
              <w:rPr>
                <w:rFonts w:ascii="仿宋_GB2312" w:hAnsi="宋体" w:eastAsia="仿宋_GB2312"/>
                <w:color w:val="000000"/>
                <w:sz w:val="18"/>
                <w:szCs w:val="18"/>
              </w:rPr>
            </w:pPr>
          </w:p>
        </w:tc>
        <w:tc>
          <w:tcPr>
            <w:tcW w:w="108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sym w:font="Wingdings 2" w:char="00A3"/>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sym w:font="Wingdings 2" w:char="00A3"/>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实时公开</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A71D3"/>
    <w:rsid w:val="576A5950"/>
    <w:rsid w:val="71A90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唯夜</cp:lastModifiedBy>
  <dcterms:modified xsi:type="dcterms:W3CDTF">2020-11-17T03:12:04Z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