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睢农〔20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签 发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关于对县人大十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次会议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建议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刘华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扎实推进人居环境整治、打造美丽宜居乡村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全面开展村庄清洁行动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对村庄主次干道、房前屋后、背街小巷开展全面大扫除、大清洁、大整治，彻底清理清除积存垃圾、淤泥、杂草树枝、农业生产废弃物等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垃圾进行集中收集，定点处理，确保整洁有序。引导群众及时拆除残垣断壁，及时清理倒伏树木，避免次生灾害发生。开展村庄环境消杀和除“四害”活动，对垃圾收集点、中转站、清运车辆、垃圾桶、厕所化粪池等进行定期消毒，杀灭蚊蝇，铲除病媒滋生环境，从源头上预防疫病传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建立长效机制。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一是建立自觉行动的长效机制。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利用一切有利因素，加强宣传教育工作、突出党员示范引领、挖掘群众集体智慧，不断增强农民群众的“主人翁”意识，充分调动起农民群众参与农村环境综合整治的自觉性、主动性、积极性，切实发挥好农民群众在农村环境综合整治中的生力军作用，形成“共扫门前雪”的生动局面，凝聚起推动农村环境综合整治工作的强大合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建立良性管护的长效机制。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造性地把农村环境综合整治工作与城乡统筹建设、美丽乡村建设等工作紧密结合，坚持集中整治与长效管理相辅相成、突击工作与日常工作相互结合、治标与治本同步推进，不断建立健全日常管护、干部包联、巡查督导、考核奖惩等有机结合的农村环境综合整治长效管护机制，使工作步入规范、科学、长效管理的轨道，促进全县农村环境综合整治工作高效、持久、深入开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逐步建立监督问责的长效机制。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农村人居环境综合整治绝不是“一阵风”，县委、县政府决定</w:t>
      </w:r>
      <w:r>
        <w:rPr>
          <w:rFonts w:hint="eastAsia" w:ascii="仿宋" w:hAnsi="仿宋" w:eastAsia="仿宋"/>
          <w:color w:val="000000"/>
          <w:sz w:val="32"/>
          <w:szCs w:val="32"/>
        </w:rPr>
        <w:t>将农村人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/>
          <w:color w:val="000000"/>
          <w:sz w:val="32"/>
          <w:szCs w:val="32"/>
        </w:rPr>
        <w:t>环境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整治集中活动</w:t>
      </w:r>
      <w:r>
        <w:rPr>
          <w:rFonts w:hint="eastAsia" w:ascii="仿宋" w:hAnsi="仿宋" w:eastAsia="仿宋"/>
          <w:color w:val="000000"/>
          <w:sz w:val="32"/>
          <w:szCs w:val="32"/>
        </w:rPr>
        <w:t>纳入乡镇目标考核体系，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县委县政府督查局</w:t>
      </w:r>
      <w:r>
        <w:rPr>
          <w:rFonts w:hint="eastAsia" w:ascii="仿宋" w:hAnsi="仿宋" w:eastAsia="仿宋"/>
          <w:color w:val="000000"/>
          <w:sz w:val="32"/>
          <w:szCs w:val="32"/>
        </w:rPr>
        <w:t>、县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/>
          <w:color w:val="000000"/>
          <w:sz w:val="32"/>
          <w:szCs w:val="32"/>
        </w:rPr>
        <w:t>和相关部门组成联合督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查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暗访组，开展“三展示、三曝光、三回访”行动，即每天展示三个亮点、曝光三个问题、三天后对问题整改进行回访，实行“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督导、周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排序</w:t>
      </w:r>
      <w:r>
        <w:rPr>
          <w:rFonts w:hint="eastAsia" w:ascii="仿宋" w:hAnsi="仿宋" w:eastAsia="仿宋"/>
          <w:color w:val="000000"/>
          <w:sz w:val="32"/>
          <w:szCs w:val="32"/>
        </w:rPr>
        <w:t>、周通报”制度，对工作不力、工作成效较差，县委、县政府将约谈乡镇主要领导。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须适时对全县农村环境综合整治工作进行“回头看”，及时发现、整改工作中出现的问题，下决心、下工夫、下力气整治遗留的死角，确保农村环境综合整治工作真正达到高标准、全覆盖。要建立健全行之有效的问责机制，以严格问责倒逼农村环境综合整治各项具体责任落到实处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再次感谢您对关于扎实推进人居环境整治、打造美丽宜居乡村的建议工作的关心和支持，希望继续对我们的工作提出宝贵意见和建议。</w:t>
      </w:r>
    </w:p>
    <w:p>
      <w:pPr>
        <w:ind w:firstLine="5440" w:firstLineChars="1700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陈传峰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1F9E43"/>
    <w:multiLevelType w:val="singleLevel"/>
    <w:tmpl w:val="A51F9E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2D2A4BA1"/>
    <w:rsid w:val="2D2A4BA1"/>
    <w:rsid w:val="3E6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1031</Words>
  <Characters>1046</Characters>
  <Lines>0</Lines>
  <Paragraphs>0</Paragraphs>
  <TotalTime>0</TotalTime>
  <ScaleCrop>false</ScaleCrop>
  <LinksUpToDate>false</LinksUpToDate>
  <CharactersWithSpaces>1195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2022-12-08T01:29:00Z</dcterms:created>
  <dc:creator>Administrator</dc:creator>
  <cp:lastModifiedBy>Administrator</cp:lastModifiedBy>
  <dcterms:modified xsi:type="dcterms:W3CDTF">2022-12-08T01:45:19Z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9C65E99735D74A00B342FD4DF556919B</vt:lpwstr>
  </property>
</Properties>
</file>