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睢</w:t>
      </w:r>
      <w:r>
        <w:rPr>
          <w:rFonts w:hint="eastAsia"/>
          <w:sz w:val="32"/>
          <w:szCs w:val="32"/>
        </w:rPr>
        <w:t>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96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61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王伟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您们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关于加强农村基本农田水利设施管理的建议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pStyle w:val="5"/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近几年来，睢县</w:t>
      </w:r>
      <w:r>
        <w:rPr>
          <w:rFonts w:hint="eastAsia" w:ascii="仿宋" w:hAnsi="仿宋" w:eastAsia="仿宋" w:cs="仿宋"/>
          <w:sz w:val="32"/>
          <w:szCs w:val="32"/>
        </w:rPr>
        <w:t>强力推进高标准农田建设，达到集中连片、旱涝保收、节水高效、稳产高产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，目前全县高标准农田建设面积达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万亩，今年正在建设的15万亩，已基本实现全覆盖。在建成的高标准良田项目区，田间基础设施齐全，路井桥全部符合要求，确保了路通、线通、电通和50亩以下都有一眼井，达到了“三通一保”。按照农田建设保护条例要求，农田水利建成后交到当地政府，谁受益谁保护，管理有所在政府和村委管理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再次感谢您们对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关于加强农村基本农田水利设施管理的建议</w:t>
      </w:r>
      <w:r>
        <w:rPr>
          <w:rFonts w:hint="eastAsia" w:ascii="仿宋_GB2312" w:hAnsi="仿宋_GB2312" w:eastAsia="仿宋_GB2312"/>
          <w:sz w:val="32"/>
          <w:szCs w:val="32"/>
        </w:rPr>
        <w:t>工作的关心和支持，希望继续对我们的工作，提出宝贵意见和建议。</w:t>
      </w:r>
    </w:p>
    <w:p>
      <w:pPr>
        <w:pStyle w:val="2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王永琦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6F0C1E51"/>
    <w:rsid w:val="6F0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2022-12-08T01:37:00Z</dcterms:created>
  <dc:creator>Administrator</dc:creator>
  <cp:lastModifiedBy>Administrator</cp:lastModifiedBy>
  <dcterms:modified xsi:type="dcterms:W3CDTF">2022-12-08T01:37:44Z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0106C26550994F819357441E64E4580F</vt:lpwstr>
  </property>
</Properties>
</file>