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睢农〔20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签 发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办理结果：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关于对县人大十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次会议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112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建议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答      复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河堤乡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代表团：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您们</w:t>
      </w:r>
      <w:r>
        <w:rPr>
          <w:rFonts w:hint="eastAsia" w:ascii="仿宋_GB2312" w:hAnsi="仿宋_GB2312" w:eastAsia="仿宋_GB2312"/>
          <w:sz w:val="32"/>
          <w:szCs w:val="32"/>
        </w:rPr>
        <w:t>提出的</w:t>
      </w:r>
      <w:r>
        <w:rPr>
          <w:rFonts w:hint="eastAsia" w:ascii="仿宋_GB2312" w:eastAsia="仿宋_GB2312"/>
          <w:sz w:val="32"/>
          <w:szCs w:val="32"/>
        </w:rPr>
        <w:t>“关于加强农村“烂尾社区”整改的建议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的议案</w:t>
      </w:r>
      <w:r>
        <w:rPr>
          <w:rFonts w:hint="eastAsia" w:ascii="仿宋_GB2312" w:eastAsia="仿宋_GB2312"/>
          <w:sz w:val="32"/>
          <w:szCs w:val="32"/>
        </w:rPr>
        <w:t>”收悉。现答复如下：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明确责任、反复讨论，协同推进方案实施。农业农村局联合房产、住建、国土和财政等部门对全县各乡镇农村社区烂尾楼进行全面排查，排查结果已上报县有关领导，县领导指示住建、房产、规划、国土和房产企业，按照“属地负责、部门指导、合力推进”，明确整改措施、时间要求和责任领导限期解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二、实地勘探、多方协调，纳入工作重点。建立工作专班，召开现场会，同时结合新农村的美丽乡村建设，协调资金助力推进。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主动汇报、争取支持，把脉会诊确定方案。农业农村局联合住建、房产、规划、国土、企业和所属乡镇主动作为，全力协调，从细节抓起，一处一处落实、一项一项推动，有效利用土地，激活市场，确保农村烂尾社区整改到位。</w:t>
      </w:r>
    </w:p>
    <w:p>
      <w:pP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pStyle w:val="2"/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赵芳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5C9C6313"/>
    <w:rsid w:val="5C9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2022-12-08T01:23:00Z</dcterms:created>
  <dc:creator>Administrator</dc:creator>
  <cp:lastModifiedBy>Administrator</cp:lastModifiedBy>
  <dcterms:modified xsi:type="dcterms:W3CDTF">2022-12-08T01:24:17Z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308F5A937F1245BE959E04EF9CA6C21D</vt:lpwstr>
  </property>
</Properties>
</file>