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124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131032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李海涛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关于加强培育经营主体，推进规模化、集约化种植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近年来，我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不断开拓创新，积极放活土地经营权，发展多种形式的适度规模经营，为全面实现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规模化、集约化种植</w:t>
      </w:r>
      <w:r>
        <w:rPr>
          <w:rFonts w:hint="eastAsia" w:ascii="仿宋" w:hAnsi="仿宋" w:eastAsia="仿宋" w:cs="仿宋"/>
          <w:sz w:val="32"/>
          <w:szCs w:val="32"/>
        </w:rPr>
        <w:t>铺路搭桥。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一、推进土地有序流转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土地大规模流转是发展农业适度规模经营的前提。近年来，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政府高度重视土地流转工作，列入政府专项督查，作为我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新型城郊农业突破发展的一项重要举措来抓。在严格遵循农村基本经营制度不变，土地所有权性质和农业用途不变，农户自愿、有偿、依法流转的前提下，引导广大农民转变思想观念，变“要我流转”为“我要流转”， 变“分散无序流转”为“规模有序流转”。积极搭建土地流转平台，建立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两级土地流转服务中心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21个</w:t>
      </w:r>
      <w:r>
        <w:rPr>
          <w:rFonts w:hint="eastAsia" w:ascii="仿宋" w:hAnsi="仿宋" w:eastAsia="仿宋" w:cs="仿宋"/>
          <w:sz w:val="32"/>
          <w:szCs w:val="32"/>
        </w:rPr>
        <w:t>，健全规范土地流转管理制度，为土地流转提供良好服务。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、大力培育新型农业经营主体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新型农业经营主体是农业规模化经营的主力军，大力培育新型农业经营主体，是发展农业适度规模经营的重要内容。目前，我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</w:t>
      </w:r>
      <w:r>
        <w:rPr>
          <w:rFonts w:hint="eastAsia" w:ascii="仿宋" w:hAnsi="仿宋" w:eastAsia="仿宋" w:cs="仿宋"/>
          <w:sz w:val="32"/>
          <w:szCs w:val="32"/>
        </w:rPr>
        <w:t>家庭农场发展到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500多</w:t>
      </w:r>
      <w:r>
        <w:rPr>
          <w:rFonts w:hint="eastAsia" w:ascii="仿宋" w:hAnsi="仿宋" w:eastAsia="仿宋" w:cs="仿宋"/>
          <w:sz w:val="32"/>
          <w:szCs w:val="32"/>
        </w:rPr>
        <w:t>家，其中市级示范家庭农场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家，省级示范场5家；合作社发展到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1200多</w:t>
      </w:r>
      <w:r>
        <w:rPr>
          <w:rFonts w:hint="eastAsia" w:ascii="仿宋" w:hAnsi="仿宋" w:eastAsia="仿宋" w:cs="仿宋"/>
          <w:sz w:val="32"/>
          <w:szCs w:val="32"/>
        </w:rPr>
        <w:t>家，其中市级示范社4家；农业龙头企业发展到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家，其中省级龙头企业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家，市级龙头企业2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、制定扶持政策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制定出台《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加快现代农业发展的若干政策》，“支持土地适度规模化经营。对农业经营主体新增连片土地流转300亩（含）以上且流转年限5年（含）以上，用于发展经济作物、粮食生产、养殖等符合区域农业产业发展规划的产业项目，根据土地流转合同面积给予补贴，连续补贴3年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、培养现代高素质农民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新型农业经营主体带头人轮训计划、现代青年农场主培养计划和农业经理人培养计划为引领，以家庭农场、农民合作社、农业企业等新型农业经营主体领办人和骨干为重点，分类型、分层次开展高素质农民培育。创新培育机制，规范管理服务，围绕种植业、养殖业、农产品加工、农业经理人等，培育一批爱农业、懂技术、善经营的现代农业经营者队伍。累计培训新型农业经营主体带头人655人，培养现代青年农场主30人，农业经理人23人，提升了农民经营管理水平和创新创业能力。探索开展农村实用人才带头人、抓党建促乡村振兴、农村妇女带头人、农村电商人才等特色主题班次，累计培训各类人才320余人。实施职业农民“头雁”引领计划，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新型职业农民果蔬种植高级研修班。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、开展农业生产托管服务项目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农业生产托管服务项目试点，组织小农户土地集中连片，推进规模化、集约化、标准化的高效现代农业生产方式，有力促进了小农户和现代农业发展有机衔接。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</w:pP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赵芳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B863210"/>
    <w:rsid w:val="4B8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2022-12-08T00:52:00Z</dcterms:created>
  <dc:creator>Administrator</dc:creator>
  <cp:lastModifiedBy>Administrator</cp:lastModifiedBy>
  <dcterms:modified xsi:type="dcterms:W3CDTF">2022-12-08T00:52:59Z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24EDE671DE884839B5955E7CED02038D</vt:lpwstr>
  </property>
</Properties>
</file>