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睢农〔20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〕</w:t>
      </w:r>
      <w:r>
        <w:rPr>
          <w:rFonts w:hint="eastAsia"/>
          <w:sz w:val="32"/>
          <w:szCs w:val="32"/>
          <w:lang w:val="en-US" w:eastAsia="zh-CN"/>
        </w:rPr>
        <w:t>127</w:t>
      </w:r>
      <w:r>
        <w:rPr>
          <w:rFonts w:hint="eastAsia"/>
          <w:sz w:val="32"/>
          <w:szCs w:val="32"/>
        </w:rPr>
        <w:t>号</w:t>
      </w:r>
    </w:p>
    <w:p>
      <w:pPr>
        <w:spacing w:line="500" w:lineRule="exact"/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 xml:space="preserve">                                  签 发 人：</w:t>
      </w:r>
      <w:r>
        <w:rPr>
          <w:rFonts w:hint="eastAsia"/>
          <w:sz w:val="32"/>
          <w:szCs w:val="32"/>
          <w:lang w:eastAsia="zh-CN"/>
        </w:rPr>
        <w:t>刘传伟</w:t>
      </w:r>
    </w:p>
    <w:p>
      <w:pPr>
        <w:spacing w:line="500" w:lineRule="exact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                                   办理结果：</w:t>
      </w:r>
      <w:r>
        <w:rPr>
          <w:rFonts w:hint="eastAsia"/>
          <w:sz w:val="32"/>
          <w:szCs w:val="32"/>
          <w:lang w:val="en-US" w:eastAsia="zh-CN"/>
        </w:rPr>
        <w:t>A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widowControl/>
        <w:jc w:val="center"/>
        <w:rPr>
          <w:rFonts w:hint="eastAsia" w:ascii="仿宋_GB2312" w:eastAsia="仿宋_GB2312"/>
          <w:b/>
          <w:bCs/>
          <w:kern w:val="0"/>
          <w:sz w:val="44"/>
          <w:szCs w:val="44"/>
        </w:rPr>
      </w:pPr>
      <w:r>
        <w:rPr>
          <w:rFonts w:hint="eastAsia" w:ascii="仿宋_GB2312" w:eastAsia="仿宋_GB2312"/>
          <w:b/>
          <w:bCs/>
          <w:kern w:val="0"/>
          <w:sz w:val="40"/>
          <w:szCs w:val="40"/>
        </w:rPr>
        <w:t>关于对县政协十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eastAsia="zh-CN"/>
        </w:rPr>
        <w:t>三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届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eastAsia="zh-CN"/>
        </w:rPr>
        <w:t>一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次会议第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val="en-US" w:eastAsia="zh-CN"/>
        </w:rPr>
        <w:t>131038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号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提案的</w:t>
      </w:r>
      <w:r>
        <w:rPr>
          <w:rFonts w:hint="eastAsia" w:ascii="仿宋_GB2312" w:eastAsia="仿宋_GB2312"/>
          <w:b/>
          <w:bCs/>
          <w:kern w:val="0"/>
          <w:sz w:val="44"/>
          <w:szCs w:val="44"/>
        </w:rPr>
        <w:t>答复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庄芾思委员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您</w:t>
      </w:r>
      <w:r>
        <w:rPr>
          <w:rFonts w:hint="eastAsia" w:ascii="仿宋_GB2312" w:hAnsi="仿宋_GB2312" w:eastAsia="仿宋_GB2312"/>
          <w:sz w:val="32"/>
          <w:szCs w:val="32"/>
        </w:rPr>
        <w:t>提出的“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关于充分发挥农业产业园示范引领辐射带动作用的建议</w:t>
      </w:r>
      <w:r>
        <w:rPr>
          <w:rFonts w:hint="eastAsia" w:ascii="仿宋_GB2312" w:hAns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收悉。现答复如下：</w:t>
      </w:r>
    </w:p>
    <w:p>
      <w:pPr>
        <w:rPr>
          <w:rFonts w:hint="eastAsia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95" w:lineRule="atLeast"/>
        <w:ind w:left="0" w:right="0" w:firstLine="450"/>
        <w:rPr>
          <w:rFonts w:ascii="Arial" w:hAnsi="Arial" w:cs="Arial"/>
          <w:i w:val="0"/>
          <w:iCs w:val="0"/>
          <w:caps w:val="0"/>
          <w:color w:val="555555"/>
          <w:spacing w:val="0"/>
          <w:sz w:val="27"/>
          <w:szCs w:val="27"/>
        </w:rPr>
      </w:pPr>
      <w:r>
        <w:rPr>
          <w:rFonts w:ascii="仿宋_GB2312" w:hAnsi="Arial" w:eastAsia="仿宋_GB2312" w:cs="仿宋_GB2312"/>
          <w:i w:val="0"/>
          <w:iCs w:val="0"/>
          <w:caps w:val="0"/>
          <w:color w:val="555555"/>
          <w:spacing w:val="0"/>
          <w:sz w:val="30"/>
          <w:szCs w:val="30"/>
          <w:shd w:val="clear" w:fill="FFFFFF"/>
        </w:rPr>
        <w:t> </w:t>
      </w:r>
      <w:r>
        <w:rPr>
          <w:rFonts w:hint="default" w:ascii="仿宋_GB2312" w:hAnsi="Arial" w:eastAsia="仿宋_GB2312" w:cs="仿宋_GB2312"/>
          <w:i w:val="0"/>
          <w:iCs w:val="0"/>
          <w:caps w:val="0"/>
          <w:color w:val="555555"/>
          <w:spacing w:val="0"/>
          <w:sz w:val="30"/>
          <w:szCs w:val="30"/>
          <w:shd w:val="clear" w:fill="FFFFFF"/>
        </w:rPr>
        <w:t> </w:t>
      </w:r>
      <w:r>
        <w:rPr>
          <w:rFonts w:ascii="黑体" w:hAnsi="宋体" w:eastAsia="黑体" w:cs="黑体"/>
          <w:i w:val="0"/>
          <w:iCs w:val="0"/>
          <w:caps w:val="0"/>
          <w:color w:val="555555"/>
          <w:spacing w:val="0"/>
          <w:sz w:val="30"/>
          <w:szCs w:val="30"/>
          <w:shd w:val="clear" w:fill="FFFFFF"/>
        </w:rPr>
        <w:t>一、</w:t>
      </w:r>
      <w:r>
        <w:rPr>
          <w:rFonts w:hint="eastAsia" w:ascii="黑体" w:hAnsi="宋体" w:eastAsia="黑体" w:cs="黑体"/>
          <w:i w:val="0"/>
          <w:iCs w:val="0"/>
          <w:caps w:val="0"/>
          <w:color w:val="555555"/>
          <w:spacing w:val="0"/>
          <w:sz w:val="31"/>
          <w:szCs w:val="31"/>
          <w:shd w:val="clear" w:fill="FFFFFF"/>
        </w:rPr>
        <w:t>我县农业园区发展现状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95" w:lineRule="atLeast"/>
        <w:ind w:left="0" w:right="0" w:firstLine="645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一是特色产业基地发展壮大。</w:t>
      </w:r>
      <w:r>
        <w:rPr>
          <w:rFonts w:hint="eastAsia" w:ascii="仿宋_GB2312" w:hAnsi="仿宋_GB2312" w:eastAsia="仿宋_GB2312" w:cs="仿宋_GB2312"/>
          <w:sz w:val="32"/>
          <w:szCs w:val="32"/>
        </w:rPr>
        <w:t>芦笋产业新增芦笋面积1万亩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辣椒产业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着力</w:t>
      </w:r>
      <w:r>
        <w:rPr>
          <w:rFonts w:hint="eastAsia" w:ascii="仿宋_GB2312" w:hAnsi="仿宋_GB2312" w:eastAsia="仿宋_GB2312" w:cs="仿宋_GB2312"/>
          <w:sz w:val="32"/>
          <w:szCs w:val="32"/>
        </w:rPr>
        <w:t>打造“铁杆”椒农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增产增收明显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；袁庄草莓辐射20个乡镇发展草莓种植；董店、周堂、尚屯云瓜园带动了睢县西瓜、甜瓜产业提档升级，争创河南省绿色种植示范基地；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上海蔬菜主供基地辐射带动河堤羊肚菌、后台生菜、平岗葛花等特色产业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高质量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蛋鸡养殖及加工进一步做强，襄玉园蛋品加工建成投产，宏泰禽业带动30个蛋鸡养殖专业村，成为蛋鸡养殖及加工的新标杆；蛋鸭养殖及加工逐步升级，蛋鸭存栏达500万羽。另外，鲜食玉米种植与加工发展迅速，有产业黑马发展趋势，成功引进了澳大利亚白绵羊养殖与屠宰加工项目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95" w:lineRule="atLeast"/>
        <w:ind w:left="0" w:right="0" w:firstLine="645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二是大力培育新型经营主体。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龙头企业培育上，项目上优先安排，资金上着力倾斜，重点培育扶持了城郊中顺农业、云腾农业科技产业园、宏泰禽业，城关凤彩农业，潮庄芦笋产业园等一大批龙头企业，通过就业带动、保底分红、股份合作等多种形式，健全利益联结机制，推动农户融入产业融合链条。今年，我县计划培育成现代农业产业园40个，目前，已申报产业园25个，现有市级现代农业产业园3个，河南省优质辣椒现代农业产业园已获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95" w:lineRule="atLeast"/>
        <w:ind w:left="0" w:right="0" w:firstLine="645"/>
        <w:rPr>
          <w:rFonts w:hint="default" w:ascii="Arial" w:hAnsi="Arial" w:cs="Arial"/>
          <w:i w:val="0"/>
          <w:iCs w:val="0"/>
          <w:caps w:val="0"/>
          <w:color w:val="555555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555555"/>
          <w:spacing w:val="0"/>
          <w:sz w:val="31"/>
          <w:szCs w:val="31"/>
          <w:shd w:val="clear" w:fill="FFFFFF"/>
        </w:rPr>
        <w:t>二、今年工作重点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高位谋划，强化组织推动。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一是谋好思路。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围绕“一带两线引领、两乡一区带动、N个小镇支撑”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产业特色产业发展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布局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种植业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</w:t>
      </w:r>
      <w:r>
        <w:rPr>
          <w:rFonts w:hint="eastAsia" w:ascii="仿宋_GB2312" w:hAnsi="仿宋_GB2312" w:eastAsia="仿宋_GB2312" w:cs="仿宋_GB2312"/>
          <w:sz w:val="32"/>
          <w:szCs w:val="32"/>
        </w:rPr>
        <w:t>“南笋北椒中果蔬”的发展思路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养殖业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</w:t>
      </w:r>
      <w:r>
        <w:rPr>
          <w:rFonts w:hint="eastAsia" w:ascii="仿宋_GB2312" w:hAnsi="仿宋_GB2312" w:eastAsia="仿宋_GB2312" w:cs="仿宋_GB2312"/>
          <w:sz w:val="32"/>
          <w:szCs w:val="32"/>
        </w:rPr>
        <w:t>“55455”的发展战略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，着力“锻一产、补二产、规范三产”，培育发展富有睢县特色的新产业、新业态，打造乡村振兴“压舱石”。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二是专班推进。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成立特色产业发展专项领导组，建立年度考核、定期调度、要素保障等工作机制，充分调动各方工作积极性。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三是加大投入。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持续加大特色产业财政投入，重点产业项目23个全部开工建设，申报国债项目2个，项目资金达22亿元。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突出特色，补强产业链条。一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是强化科技投入支撑。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与农业高校和有关农业科技院所合作，使每个产业链都精准对接一所大学。辣椒产业链对接中国农业大学食品工程学院，芦笋产业对接北京农科院芦笋研究所、江西农大、潍坊市农科院，草莓产业链对接河南农业大学园艺学院和经管学院，药材产业链对接河南科技大学农学院、中国信息通信研究院政策与经济研究所等。睢县云耕时代机器人科技有限公司与中科院自动化研究所合作，研发大田作物水肥一体化智能机器人，实现粮食生产全程机械化，打造粮食生产的“无人农场”。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是品牌影响效应日益凸显。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先后</w:t>
      </w:r>
      <w:r>
        <w:rPr>
          <w:rFonts w:hint="eastAsia" w:ascii="仿宋_GB2312" w:hAnsi="仿宋_GB2312" w:eastAsia="仿宋_GB2312" w:cs="仿宋_GB2312"/>
          <w:sz w:val="32"/>
          <w:szCs w:val="32"/>
        </w:rPr>
        <w:t>注册凤彩科技“好凤莓”草莓品牌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做实“云农道”科技“云瓜园”蜜瓜品牌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壮大宏泰禽业“襄玉园”蛋液加工品牌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培育云腾科技“净菜”品牌，做强中顺科技“爱伊辣”辣椒品牌等一系列优势农产品品牌，实现品质化生产、品牌化消费、订单化种植，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逐步</w:t>
      </w:r>
      <w:r>
        <w:rPr>
          <w:rFonts w:hint="eastAsia" w:ascii="仿宋_GB2312" w:hAnsi="仿宋_GB2312" w:eastAsia="仿宋_GB2312" w:cs="仿宋_GB2312"/>
          <w:sz w:val="32"/>
          <w:szCs w:val="32"/>
        </w:rPr>
        <w:t>构建现代农业特色产业体系。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是生态循环农业健康发展。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创新“四位一体”厕所革命新模式，引进有机肥企业入驻运营，实现厕所革命产业化转型；两牛养殖产业实施“五化战略”（布局区域化、生产标准化、经营规模化、发展产业化、产品绿色化），提高质量效益和竞争力；秸秆利用采取饲草、发电燃料、有机肥生产原料分置，实现县域秸秆离田全覆盖、综合利用产业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整体联动，推动深度融合。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一是建立完善产业服务体系。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做到“四有”:有协会，在已成立草莓协会的基础上，逐步成立其他特色产业协会；有党支部，每个协会建立党支部，将支部建在产业链上；有田间学校，在白楼乡、城郊乡等乡镇新建农民田间学校6所；有专家服务团，开展新品种选育、新技术推广、新设备研发及新技术指导培训。开发睢县“兴农网”，及时发布各类服务“三农”信息。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是创新农民教育培训模式。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展建设田间教学，成立特色产业专家服务团，创新“五步培养法”，培养一支懂农业、善经营、会管理的高素质农民队伍。“睢县田间学校科技兴农扶贫模式”，被评为“2019年河南省农业产业扶贫十大典型模式”，入围全国智库、全国政协百名录，被全国政协推荐至联合国并在非洲等地进行了推广。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是确保群众产业发展零风险。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充分发挥特色农业保险在芦笋、辣椒产业发展“稳压器”和“保护伞”的作用，探索开展了产量保险、收益保险、价格保险等，让农户发展芦笋、辣椒等特色产业“零”风险。</w:t>
      </w:r>
    </w:p>
    <w:p>
      <w:pPr>
        <w:pStyle w:val="2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</w:p>
    <w:p>
      <w:pPr>
        <w:widowControl/>
        <w:ind w:firstLine="5440" w:firstLineChars="17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睢县农业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农村</w:t>
      </w:r>
      <w:r>
        <w:rPr>
          <w:rFonts w:hint="eastAsia" w:ascii="仿宋" w:hAnsi="仿宋" w:eastAsia="仿宋" w:cs="仿宋"/>
          <w:kern w:val="0"/>
          <w:sz w:val="32"/>
          <w:szCs w:val="32"/>
        </w:rPr>
        <w:t>局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</w:rPr>
        <w:t>月12日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联系电话：8166182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联系人：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王永琦</w:t>
      </w:r>
    </w:p>
    <w:p>
      <w:pPr>
        <w:pStyle w:val="2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OGZjZThmZmNkYzQyZGFkOGQzYWIzZWU2ZTY2OWIifQ=="/>
  </w:docVars>
  <w:rsids>
    <w:rsidRoot w:val="3AD97DB3"/>
    <w:rsid w:val="3AD9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Arial Unicode MS" w:hAnsi="Arial Unicode MS" w:eastAsia="Arial Unicode MS" w:cs="Arial Unicode MS"/>
      <w:sz w:val="29"/>
      <w:szCs w:val="29"/>
      <w:lang w:val="zh-CN" w:eastAsia="zh-CN" w:bidi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2022-12-08T00:54:00Z</dcterms:created>
  <dc:creator>Administrator</dc:creator>
  <cp:lastModifiedBy>Administrator</cp:lastModifiedBy>
  <dcterms:modified xsi:type="dcterms:W3CDTF">2022-12-08T00:55:14Z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AAE2AE8CB46E44B89F9292F52F858FB3</vt:lpwstr>
  </property>
</Properties>
</file>