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134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131078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刘勤锋委员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关于打造农业经济循环功能田园综合体的提案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一、科学规划，突出特色。</w:t>
      </w:r>
      <w:r>
        <w:rPr>
          <w:rFonts w:hint="eastAsia" w:ascii="仿宋_GB2312" w:eastAsia="仿宋_GB2312"/>
          <w:sz w:val="32"/>
          <w:szCs w:val="32"/>
          <w:lang w:eastAsia="zh-CN"/>
        </w:rPr>
        <w:t>依托各乡镇的原有资源优势和主导产业，打造鲜明的、宜居宜业田园综合体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5个以上。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二、精心培育，政策支持。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一是强化政策扶持力度和项目支撑，将田园综合体建设纳入农业产业扶持政策。二是巩固现有田园综合体建设成果。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目前符合农业经济循环田园综合体的只有云腾科技，以后按照县农业十四五规划有关要求，逐步推进。</w:t>
      </w: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A8D4ED4"/>
    <w:rsid w:val="2A8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2022-12-08T00:58:00Z</dcterms:created>
  <dc:creator>Administrator</dc:creator>
  <cp:lastModifiedBy>Administrator</cp:lastModifiedBy>
  <dcterms:modified xsi:type="dcterms:W3CDTF">2022-12-08T00:58:51Z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A006B39F0039442E97A0CED1FD33DD56</vt:lpwstr>
  </property>
</Properties>
</file>