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睢城管【2022】79号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131110号提案的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朱永红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您提出的关于“加大公共基础设施和绿化树木毁损行为打击力度”的建议收悉，现答复如下：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感谢您宝贵的建议，根据城市管理局权责将加强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对城区公厕、垃圾中转站、泵站、垃圾箱、公共自行车等公共设施的管理维护，更新陈旧破损设施，及时清理破旧户外广告，消除安全隐患。积极配合有关职能和产权单位强化日常巡查，将制止毁坏公共基础设施行为列入重要工作内容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09DD1EEE"/>
    <w:rsid w:val="13F73375"/>
    <w:rsid w:val="3C3B1570"/>
    <w:rsid w:val="517A251F"/>
    <w:rsid w:val="53BD780C"/>
    <w:rsid w:val="5BD36047"/>
    <w:rsid w:val="644E4C1D"/>
    <w:rsid w:val="681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328</Characters>
  <Lines>0</Lines>
  <Paragraphs>0</Paragraphs>
  <TotalTime>0</TotalTime>
  <ScaleCrop>false</ScaleCrop>
  <LinksUpToDate>false</LinksUpToDate>
  <CharactersWithSpaces>392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2022-09-28T11:17:00Z</dcterms:created>
  <dc:creator>LENOVO</dc:creator>
  <cp:lastModifiedBy>比鲁斯。</cp:lastModifiedBy>
  <dcterms:modified xsi:type="dcterms:W3CDTF">2022-09-30T02:32:35Z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79EB4EE3C3D7426BBA5F62BF86665302</vt:lpwstr>
  </property>
</Properties>
</file>