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140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131014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孙照辉委员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关于打造乡村振兴示范村的提案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一、示范村建设情况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近年来，</w:t>
      </w:r>
      <w:r>
        <w:rPr>
          <w:rFonts w:hint="eastAsia" w:ascii="仿宋" w:hAnsi="仿宋" w:eastAsia="仿宋" w:cs="仿宋"/>
          <w:sz w:val="32"/>
          <w:szCs w:val="32"/>
        </w:rPr>
        <w:t>我县启动建设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个乡村振兴示范村，累计实施项目177个，完成投资2.45亿元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二、建立农村人居环境整治长效机制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草拟并推动县政府出台《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人民政府关于建立农村人居环境整治长效机制的实施意见》，明确了农村环境卫生长效保洁费用，按照县财政奖补、镇级统筹协调、村民自筹的原则，实行县、镇、村三级负担，其中县财政每年预算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2000</w:t>
      </w:r>
      <w:r>
        <w:rPr>
          <w:rFonts w:hint="eastAsia" w:ascii="仿宋" w:hAnsi="仿宋" w:eastAsia="仿宋" w:cs="仿宋"/>
          <w:sz w:val="32"/>
          <w:szCs w:val="32"/>
        </w:rPr>
        <w:t>万元奖补资金，用于保障农村人居环境整治长效机制落实。《实施意见》的出台，进一步完善了我县农村人居环境整治长效机制，形成了有队伍、有经费、有制度、有标准、有监管的“五有”农村人居环境整治体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陈传峰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749076DB"/>
    <w:rsid w:val="749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2022-12-08T01:19:00Z</dcterms:created>
  <dc:creator>Administrator</dc:creator>
  <cp:lastModifiedBy>Administrator</cp:lastModifiedBy>
  <dcterms:modified xsi:type="dcterms:W3CDTF">2022-12-08T01:19:27Z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FDF118B927D84B258D4F6A2DF3F5C216</vt:lpwstr>
  </property>
</Properties>
</file>