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35"/>
          <w:szCs w:val="35"/>
        </w:rPr>
      </w:pPr>
    </w:p>
    <w:p>
      <w:pPr>
        <w:ind w:firstLine="703" w:firstLineChars="200"/>
        <w:jc w:val="center"/>
        <w:rPr>
          <w:rFonts w:hint="eastAsia" w:ascii="宋体" w:hAnsi="宋体" w:cs="宋体"/>
          <w:b/>
          <w:bCs/>
          <w:sz w:val="35"/>
          <w:szCs w:val="35"/>
          <w:lang w:eastAsia="zh-CN"/>
        </w:rPr>
      </w:pPr>
      <w:r>
        <w:rPr>
          <w:rFonts w:hint="eastAsia" w:ascii="宋体" w:hAnsi="宋体" w:cs="宋体"/>
          <w:b/>
          <w:bCs/>
          <w:sz w:val="35"/>
          <w:szCs w:val="35"/>
          <w:lang w:eastAsia="zh-CN"/>
        </w:rPr>
        <w:t>睢县2022年第二批义务教育薄弱环节改善与能力提升教育设备项目</w:t>
      </w:r>
    </w:p>
    <w:p>
      <w:pPr>
        <w:pStyle w:val="16"/>
        <w:rPr>
          <w:rFonts w:hint="eastAsia" w:ascii="宋体" w:hAnsi="宋体" w:cs="宋体"/>
          <w:b/>
          <w:bCs/>
          <w:sz w:val="35"/>
          <w:szCs w:val="35"/>
          <w:lang w:eastAsia="zh-CN"/>
        </w:rPr>
      </w:pPr>
    </w:p>
    <w:p>
      <w:pPr>
        <w:rPr>
          <w:rFonts w:hint="eastAsia" w:ascii="宋体" w:hAnsi="宋体" w:cs="宋体"/>
          <w:b/>
          <w:bCs/>
          <w:sz w:val="35"/>
          <w:szCs w:val="35"/>
          <w:lang w:eastAsia="zh-CN"/>
        </w:rPr>
      </w:pPr>
    </w:p>
    <w:p>
      <w:pPr>
        <w:pStyle w:val="16"/>
        <w:rPr>
          <w:rFonts w:hint="eastAsia"/>
          <w:lang w:eastAsia="zh-CN"/>
        </w:rPr>
      </w:pPr>
    </w:p>
    <w:p>
      <w:pPr>
        <w:pStyle w:val="16"/>
        <w:rPr>
          <w:rFonts w:hint="eastAsia"/>
        </w:rPr>
      </w:pPr>
    </w:p>
    <w:p>
      <w:pPr>
        <w:jc w:val="center"/>
        <w:rPr>
          <w:rFonts w:ascii="宋体" w:hAnsi="宋体" w:cs="宋体"/>
          <w:b/>
          <w:bCs/>
          <w:sz w:val="96"/>
          <w:szCs w:val="96"/>
        </w:rPr>
      </w:pPr>
      <w:r>
        <w:rPr>
          <w:rFonts w:hint="eastAsia" w:ascii="宋体" w:hAnsi="宋体" w:cs="宋体"/>
          <w:b/>
          <w:bCs/>
          <w:sz w:val="96"/>
          <w:szCs w:val="96"/>
        </w:rPr>
        <w:t>采购文件</w:t>
      </w:r>
    </w:p>
    <w:p>
      <w:pPr>
        <w:spacing w:before="196"/>
        <w:ind w:firstLine="2400" w:firstLineChars="800"/>
        <w:jc w:val="both"/>
        <w:rPr>
          <w:rFonts w:hint="default" w:ascii="宋体" w:hAnsi="宋体" w:eastAsia="宋体" w:cs="宋体"/>
          <w:color w:val="000000" w:themeColor="text1"/>
          <w:sz w:val="30"/>
          <w:szCs w:val="30"/>
          <w:lang w:val="en-US" w:eastAsia="zh-CN"/>
          <w14:textFill>
            <w14:solidFill>
              <w14:schemeClr w14:val="tx1"/>
            </w14:solidFill>
          </w14:textFill>
        </w:rPr>
      </w:pPr>
      <w:r>
        <w:rPr>
          <w:rFonts w:ascii="宋体" w:hAnsi="宋体" w:cs="宋体"/>
          <w:color w:val="000000" w:themeColor="text1"/>
          <w:sz w:val="30"/>
          <w:szCs w:val="30"/>
          <w14:textFill>
            <w14:solidFill>
              <w14:schemeClr w14:val="tx1"/>
            </w14:solidFill>
          </w14:textFill>
        </w:rPr>
        <w:t>采购编</w:t>
      </w:r>
      <w:r>
        <w:rPr>
          <w:rFonts w:ascii="宋体" w:hAnsi="宋体" w:cs="宋体"/>
          <w:color w:val="000000" w:themeColor="text1"/>
          <w:spacing w:val="-1"/>
          <w:sz w:val="30"/>
          <w:szCs w:val="30"/>
          <w14:textFill>
            <w14:solidFill>
              <w14:schemeClr w14:val="tx1"/>
            </w14:solidFill>
          </w14:textFill>
        </w:rPr>
        <w:t>号：</w:t>
      </w:r>
      <w:r>
        <w:rPr>
          <w:rFonts w:hint="eastAsia" w:ascii="宋体" w:hAnsi="宋体" w:cs="宋体"/>
          <w:color w:val="000000" w:themeColor="text1"/>
          <w:spacing w:val="-1"/>
          <w:sz w:val="30"/>
          <w:szCs w:val="30"/>
          <w:lang w:val="en-US" w:eastAsia="zh-CN"/>
          <w14:textFill>
            <w14:solidFill>
              <w14:schemeClr w14:val="tx1"/>
            </w14:solidFill>
          </w14:textFill>
        </w:rPr>
        <w:t>2022-08-22</w:t>
      </w:r>
    </w:p>
    <w:p>
      <w:pPr>
        <w:spacing w:line="301" w:lineRule="exact"/>
        <w:jc w:val="left"/>
        <w:rPr>
          <w:rFonts w:ascii="宋体" w:hAnsi="宋体" w:cs="宋体"/>
          <w:sz w:val="30"/>
          <w:szCs w:val="30"/>
        </w:rPr>
      </w:pPr>
    </w:p>
    <w:p>
      <w:pPr>
        <w:spacing w:line="301" w:lineRule="exact"/>
        <w:jc w:val="left"/>
        <w:rPr>
          <w:rFonts w:ascii="宋体" w:hAnsi="宋体" w:cs="宋体"/>
          <w:sz w:val="30"/>
          <w:szCs w:val="30"/>
        </w:rPr>
      </w:pPr>
    </w:p>
    <w:p>
      <w:pPr>
        <w:pStyle w:val="27"/>
        <w:ind w:firstLine="600"/>
        <w:rPr>
          <w:rFonts w:ascii="宋体" w:hAnsi="宋体" w:cs="宋体"/>
          <w:sz w:val="30"/>
          <w:szCs w:val="30"/>
        </w:rPr>
      </w:pPr>
    </w:p>
    <w:p>
      <w:pPr>
        <w:pStyle w:val="27"/>
        <w:ind w:firstLine="600"/>
        <w:rPr>
          <w:rFonts w:ascii="宋体" w:hAnsi="宋体" w:cs="宋体"/>
          <w:sz w:val="30"/>
          <w:szCs w:val="30"/>
        </w:rPr>
      </w:pPr>
    </w:p>
    <w:p>
      <w:pPr>
        <w:pStyle w:val="27"/>
        <w:ind w:firstLine="600"/>
        <w:rPr>
          <w:rFonts w:ascii="宋体" w:hAnsi="宋体" w:cs="宋体"/>
          <w:sz w:val="30"/>
          <w:szCs w:val="30"/>
        </w:rPr>
      </w:pPr>
    </w:p>
    <w:p>
      <w:pPr>
        <w:spacing w:line="301" w:lineRule="exact"/>
        <w:jc w:val="left"/>
        <w:rPr>
          <w:rFonts w:ascii="宋体" w:hAnsi="宋体" w:cs="宋体"/>
          <w:sz w:val="30"/>
          <w:szCs w:val="30"/>
        </w:rPr>
      </w:pPr>
    </w:p>
    <w:p>
      <w:pPr>
        <w:spacing w:line="301" w:lineRule="exact"/>
        <w:jc w:val="left"/>
        <w:rPr>
          <w:rFonts w:ascii="宋体" w:hAnsi="宋体" w:cs="宋体"/>
          <w:sz w:val="30"/>
          <w:szCs w:val="30"/>
        </w:rPr>
      </w:pPr>
    </w:p>
    <w:p>
      <w:pPr>
        <w:spacing w:line="301" w:lineRule="exact"/>
        <w:jc w:val="left"/>
        <w:rPr>
          <w:rFonts w:ascii="宋体" w:hAnsi="宋体" w:cs="宋体"/>
          <w:sz w:val="30"/>
          <w:szCs w:val="30"/>
        </w:rPr>
      </w:pPr>
    </w:p>
    <w:p>
      <w:pPr>
        <w:spacing w:line="301" w:lineRule="exact"/>
        <w:jc w:val="left"/>
        <w:rPr>
          <w:rFonts w:ascii="宋体" w:hAnsi="宋体" w:cs="宋体"/>
          <w:sz w:val="30"/>
          <w:szCs w:val="30"/>
        </w:rPr>
      </w:pPr>
    </w:p>
    <w:p>
      <w:pPr>
        <w:spacing w:line="301" w:lineRule="exact"/>
        <w:jc w:val="left"/>
        <w:rPr>
          <w:rFonts w:ascii="宋体" w:hAnsi="宋体" w:cs="宋体"/>
          <w:sz w:val="30"/>
          <w:szCs w:val="30"/>
        </w:rPr>
      </w:pPr>
    </w:p>
    <w:p>
      <w:pPr>
        <w:tabs>
          <w:tab w:val="left" w:pos="1067"/>
        </w:tabs>
        <w:spacing w:before="196" w:line="256" w:lineRule="auto"/>
        <w:ind w:right="92"/>
        <w:jc w:val="left"/>
        <w:rPr>
          <w:rFonts w:ascii="宋体" w:hAnsi="宋体" w:cs="宋体"/>
          <w:sz w:val="30"/>
          <w:szCs w:val="30"/>
        </w:rPr>
      </w:pPr>
    </w:p>
    <w:p>
      <w:pPr>
        <w:tabs>
          <w:tab w:val="left" w:pos="1067"/>
        </w:tabs>
        <w:spacing w:before="196" w:line="256" w:lineRule="auto"/>
        <w:ind w:right="92"/>
        <w:jc w:val="left"/>
        <w:rPr>
          <w:rFonts w:ascii="宋体" w:hAnsi="宋体" w:cs="宋体"/>
          <w:sz w:val="30"/>
          <w:szCs w:val="30"/>
        </w:rPr>
      </w:pPr>
    </w:p>
    <w:p>
      <w:pPr>
        <w:tabs>
          <w:tab w:val="left" w:pos="1067"/>
        </w:tabs>
        <w:spacing w:before="196" w:line="256" w:lineRule="auto"/>
        <w:ind w:right="92" w:firstLine="640" w:firstLineChars="200"/>
        <w:jc w:val="left"/>
        <w:rPr>
          <w:rFonts w:ascii="宋体" w:hAnsi="宋体" w:cs="宋体"/>
          <w:spacing w:val="3"/>
          <w:sz w:val="32"/>
          <w:szCs w:val="32"/>
        </w:rPr>
      </w:pPr>
      <w:r>
        <w:rPr>
          <w:rFonts w:ascii="宋体" w:hAnsi="宋体" w:cs="宋体"/>
          <w:sz w:val="32"/>
          <w:szCs w:val="32"/>
        </w:rPr>
        <w:t>采</w:t>
      </w:r>
      <w:r>
        <w:rPr>
          <w:rFonts w:hint="eastAsia" w:ascii="宋体" w:hAnsi="宋体" w:cs="宋体"/>
          <w:sz w:val="32"/>
          <w:szCs w:val="32"/>
          <w:lang w:val="en-US" w:eastAsia="zh-CN"/>
        </w:rPr>
        <w:t xml:space="preserve"> </w:t>
      </w:r>
      <w:r>
        <w:rPr>
          <w:rFonts w:ascii="宋体" w:hAnsi="宋体" w:cs="宋体"/>
          <w:sz w:val="32"/>
          <w:szCs w:val="32"/>
        </w:rPr>
        <w:t>购</w:t>
      </w:r>
      <w:r>
        <w:rPr>
          <w:rFonts w:ascii="宋体" w:hAnsi="宋体" w:cs="宋体"/>
          <w:sz w:val="32"/>
          <w:szCs w:val="32"/>
        </w:rPr>
        <w:tab/>
      </w:r>
      <w:r>
        <w:rPr>
          <w:rFonts w:ascii="宋体" w:hAnsi="宋体" w:cs="宋体"/>
          <w:sz w:val="32"/>
          <w:szCs w:val="32"/>
        </w:rPr>
        <w:t>人：</w:t>
      </w:r>
      <w:r>
        <w:rPr>
          <w:rFonts w:hint="eastAsia" w:ascii="宋体" w:hAnsi="宋体" w:cs="宋体"/>
          <w:spacing w:val="3"/>
          <w:sz w:val="32"/>
          <w:szCs w:val="32"/>
        </w:rPr>
        <w:t>睢</w:t>
      </w:r>
      <w:r>
        <w:rPr>
          <w:rFonts w:ascii="宋体" w:hAnsi="宋体" w:cs="宋体"/>
          <w:spacing w:val="3"/>
          <w:sz w:val="32"/>
          <w:szCs w:val="32"/>
        </w:rPr>
        <w:t xml:space="preserve">县教育体育局 </w:t>
      </w:r>
    </w:p>
    <w:p>
      <w:pPr>
        <w:tabs>
          <w:tab w:val="left" w:pos="1067"/>
        </w:tabs>
        <w:spacing w:before="196" w:line="256" w:lineRule="auto"/>
        <w:ind w:right="92" w:firstLine="640" w:firstLineChars="200"/>
        <w:jc w:val="left"/>
        <w:rPr>
          <w:rFonts w:hint="eastAsia" w:ascii="宋体" w:hAnsi="宋体" w:eastAsia="宋体" w:cs="宋体"/>
          <w:sz w:val="32"/>
          <w:szCs w:val="32"/>
          <w:lang w:eastAsia="zh-CN"/>
        </w:rPr>
      </w:pPr>
      <w:r>
        <w:rPr>
          <w:rFonts w:ascii="宋体" w:hAnsi="宋体" w:cs="宋体"/>
          <w:sz w:val="32"/>
          <w:szCs w:val="32"/>
        </w:rPr>
        <w:t>采购</w:t>
      </w:r>
      <w:r>
        <w:rPr>
          <w:rFonts w:ascii="宋体" w:hAnsi="宋体" w:cs="宋体"/>
          <w:spacing w:val="4"/>
          <w:sz w:val="32"/>
          <w:szCs w:val="32"/>
        </w:rPr>
        <w:t>代</w:t>
      </w:r>
      <w:r>
        <w:rPr>
          <w:rFonts w:ascii="宋体" w:hAnsi="宋体" w:cs="宋体"/>
          <w:sz w:val="32"/>
          <w:szCs w:val="32"/>
        </w:rPr>
        <w:t>理机构</w:t>
      </w:r>
      <w:r>
        <w:rPr>
          <w:rFonts w:ascii="宋体" w:hAnsi="宋体" w:cs="宋体"/>
          <w:spacing w:val="9"/>
          <w:sz w:val="32"/>
          <w:szCs w:val="32"/>
        </w:rPr>
        <w:t>：</w:t>
      </w:r>
      <w:r>
        <w:rPr>
          <w:rFonts w:hint="eastAsia" w:ascii="宋体" w:hAnsi="宋体" w:cs="宋体"/>
          <w:sz w:val="32"/>
          <w:szCs w:val="32"/>
          <w:lang w:eastAsia="zh-CN"/>
        </w:rPr>
        <w:t>亿鑫工程咨询有限公司</w:t>
      </w:r>
    </w:p>
    <w:p>
      <w:pPr>
        <w:tabs>
          <w:tab w:val="left" w:pos="1067"/>
        </w:tabs>
        <w:spacing w:before="196" w:line="256" w:lineRule="auto"/>
        <w:ind w:right="92" w:firstLine="640" w:firstLineChars="200"/>
        <w:jc w:val="left"/>
        <w:rPr>
          <w:rFonts w:hAnsi="宋体" w:cs="宋体"/>
          <w:sz w:val="32"/>
          <w:szCs w:val="32"/>
        </w:rPr>
      </w:pPr>
      <w:r>
        <w:rPr>
          <w:rFonts w:hint="eastAsia" w:hAnsi="宋体" w:cs="宋体"/>
          <w:sz w:val="32"/>
          <w:szCs w:val="32"/>
        </w:rPr>
        <w:t>代理日期：二○二</w:t>
      </w:r>
      <w:r>
        <w:rPr>
          <w:rFonts w:hint="eastAsia" w:hAnsi="宋体" w:cs="宋体"/>
          <w:sz w:val="32"/>
          <w:szCs w:val="32"/>
          <w:lang w:eastAsia="zh-CN"/>
        </w:rPr>
        <w:t>二</w:t>
      </w:r>
      <w:r>
        <w:rPr>
          <w:rFonts w:hint="eastAsia" w:hAnsi="宋体" w:cs="宋体"/>
          <w:sz w:val="32"/>
          <w:szCs w:val="32"/>
        </w:rPr>
        <w:t>年</w:t>
      </w:r>
      <w:r>
        <w:rPr>
          <w:rFonts w:hint="eastAsia" w:hAnsi="宋体" w:cs="宋体"/>
          <w:sz w:val="32"/>
          <w:szCs w:val="32"/>
          <w:lang w:eastAsia="zh-CN"/>
        </w:rPr>
        <w:t>十</w:t>
      </w:r>
      <w:r>
        <w:rPr>
          <w:rFonts w:hint="eastAsia" w:hAnsi="宋体" w:cs="宋体"/>
          <w:sz w:val="32"/>
          <w:szCs w:val="32"/>
        </w:rPr>
        <w:t>月</w:t>
      </w:r>
    </w:p>
    <w:p>
      <w:pPr>
        <w:pStyle w:val="27"/>
        <w:ind w:firstLine="640"/>
        <w:rPr>
          <w:rFonts w:hAnsi="宋体" w:cs="宋体"/>
          <w:szCs w:val="32"/>
        </w:rPr>
      </w:pPr>
    </w:p>
    <w:p>
      <w:pPr>
        <w:pStyle w:val="27"/>
        <w:ind w:firstLine="640"/>
        <w:rPr>
          <w:rFonts w:hAnsi="宋体" w:cs="宋体"/>
          <w:szCs w:val="32"/>
        </w:rPr>
      </w:pPr>
    </w:p>
    <w:p>
      <w:pPr>
        <w:rPr>
          <w:rFonts w:hAnsi="宋体" w:cs="宋体"/>
          <w:szCs w:val="32"/>
        </w:rPr>
      </w:pPr>
      <w:r>
        <w:rPr>
          <w:rFonts w:hAnsi="宋体" w:cs="宋体"/>
          <w:szCs w:val="32"/>
        </w:rPr>
        <w:br w:type="page"/>
      </w:r>
    </w:p>
    <w:p/>
    <w:p>
      <w:pPr>
        <w:pStyle w:val="27"/>
        <w:ind w:firstLine="640"/>
        <w:rPr>
          <w:rFonts w:hAnsi="宋体" w:cs="宋体"/>
          <w:szCs w:val="32"/>
        </w:rPr>
      </w:pPr>
    </w:p>
    <w:p>
      <w:pPr>
        <w:pStyle w:val="27"/>
        <w:ind w:firstLine="640"/>
        <w:rPr>
          <w:rFonts w:hAnsi="宋体" w:cs="宋体"/>
          <w:szCs w:val="32"/>
        </w:rPr>
      </w:pPr>
    </w:p>
    <w:p>
      <w:pPr>
        <w:pStyle w:val="27"/>
        <w:ind w:firstLine="640"/>
        <w:rPr>
          <w:rFonts w:hAnsi="宋体" w:cs="宋体"/>
          <w:szCs w:val="32"/>
        </w:rPr>
      </w:pP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jc w:val="center"/>
        <w:textAlignment w:val="auto"/>
        <w:rPr>
          <w:sz w:val="36"/>
          <w:szCs w:val="44"/>
        </w:rPr>
      </w:pPr>
      <w:r>
        <w:rPr>
          <w:rFonts w:hint="eastAsia"/>
          <w:sz w:val="36"/>
          <w:szCs w:val="44"/>
        </w:rPr>
        <w:t>目录</w:t>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 w:val="28"/>
          <w:szCs w:val="28"/>
        </w:rPr>
        <w:fldChar w:fldCharType="begin"/>
      </w:r>
      <w:r>
        <w:rPr>
          <w:rFonts w:hint="eastAsia" w:ascii="宋体" w:hAnsi="宋体" w:cs="宋体"/>
          <w:sz w:val="28"/>
          <w:szCs w:val="28"/>
        </w:rPr>
        <w:instrText xml:space="preserve">TOC \o "1-4" \h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_Toc20751 </w:instrText>
      </w:r>
      <w:r>
        <w:rPr>
          <w:rFonts w:hint="eastAsia" w:ascii="宋体" w:hAnsi="宋体" w:cs="宋体"/>
          <w:szCs w:val="28"/>
        </w:rPr>
        <w:fldChar w:fldCharType="separate"/>
      </w:r>
      <w:r>
        <w:rPr>
          <w:rFonts w:hint="eastAsia"/>
        </w:rPr>
        <w:t>第一章 采购</w:t>
      </w:r>
      <w:r>
        <w:t>公告</w:t>
      </w:r>
      <w:r>
        <w:tab/>
      </w:r>
      <w:r>
        <w:fldChar w:fldCharType="begin"/>
      </w:r>
      <w:r>
        <w:instrText xml:space="preserve"> PAGEREF _Toc20751 </w:instrText>
      </w:r>
      <w:r>
        <w:fldChar w:fldCharType="separate"/>
      </w:r>
      <w:r>
        <w:t>3</w:t>
      </w:r>
      <w:r>
        <w:fldChar w:fldCharType="end"/>
      </w:r>
      <w:r>
        <w:rPr>
          <w:rFonts w:hint="eastAsia" w:ascii="宋体" w:hAnsi="宋体" w:cs="宋体"/>
          <w:szCs w:val="28"/>
        </w:rPr>
        <w:fldChar w:fldCharType="end"/>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_Toc13158 </w:instrText>
      </w:r>
      <w:r>
        <w:rPr>
          <w:rFonts w:hint="eastAsia" w:ascii="宋体" w:hAnsi="宋体" w:cs="宋体"/>
          <w:szCs w:val="28"/>
        </w:rPr>
        <w:fldChar w:fldCharType="separate"/>
      </w:r>
      <w:r>
        <w:t xml:space="preserve">第二章 </w:t>
      </w:r>
      <w:r>
        <w:rPr>
          <w:rFonts w:hint="eastAsia"/>
        </w:rPr>
        <w:t>供应商</w:t>
      </w:r>
      <w:r>
        <w:t>须知</w:t>
      </w:r>
      <w:r>
        <w:tab/>
      </w:r>
      <w:r>
        <w:fldChar w:fldCharType="begin"/>
      </w:r>
      <w:r>
        <w:instrText xml:space="preserve"> PAGEREF _Toc13158 </w:instrText>
      </w:r>
      <w:r>
        <w:fldChar w:fldCharType="separate"/>
      </w:r>
      <w:r>
        <w:t>6</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_Toc11371 </w:instrText>
      </w:r>
      <w:r>
        <w:rPr>
          <w:rFonts w:hint="eastAsia" w:ascii="宋体" w:hAnsi="宋体" w:cs="宋体"/>
          <w:szCs w:val="28"/>
        </w:rPr>
        <w:fldChar w:fldCharType="separate"/>
      </w:r>
      <w:r>
        <w:rPr>
          <w:rFonts w:hint="eastAsia" w:ascii="宋体" w:hAnsi="宋体" w:cs="宋体"/>
          <w:spacing w:val="11"/>
        </w:rPr>
        <w:t>一、总</w:t>
      </w:r>
      <w:r>
        <w:rPr>
          <w:rFonts w:hint="eastAsia" w:ascii="宋体" w:hAnsi="宋体" w:cs="宋体"/>
        </w:rPr>
        <w:t>则</w:t>
      </w:r>
      <w:r>
        <w:tab/>
      </w:r>
      <w:r>
        <w:fldChar w:fldCharType="begin"/>
      </w:r>
      <w:r>
        <w:instrText xml:space="preserve"> PAGEREF _Toc11371 </w:instrText>
      </w:r>
      <w:r>
        <w:fldChar w:fldCharType="separate"/>
      </w:r>
      <w:r>
        <w:t>11</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_Toc7725 </w:instrText>
      </w:r>
      <w:r>
        <w:rPr>
          <w:rFonts w:hint="eastAsia" w:ascii="宋体" w:hAnsi="宋体" w:cs="宋体"/>
          <w:szCs w:val="28"/>
        </w:rPr>
        <w:fldChar w:fldCharType="separate"/>
      </w:r>
      <w:r>
        <w:rPr>
          <w:rFonts w:hint="eastAsia"/>
        </w:rPr>
        <w:t>二、采购文件</w:t>
      </w:r>
      <w:r>
        <w:tab/>
      </w:r>
      <w:r>
        <w:fldChar w:fldCharType="begin"/>
      </w:r>
      <w:r>
        <w:instrText xml:space="preserve"> PAGEREF _Toc7725 </w:instrText>
      </w:r>
      <w:r>
        <w:fldChar w:fldCharType="separate"/>
      </w:r>
      <w:r>
        <w:t>11</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_Toc15271 </w:instrText>
      </w:r>
      <w:r>
        <w:rPr>
          <w:rFonts w:hint="eastAsia" w:ascii="宋体" w:hAnsi="宋体" w:cs="宋体"/>
          <w:szCs w:val="28"/>
        </w:rPr>
        <w:fldChar w:fldCharType="separate"/>
      </w:r>
      <w:r>
        <w:rPr>
          <w:rFonts w:hint="eastAsia"/>
        </w:rPr>
        <w:t>三、 响应文件的编制</w:t>
      </w:r>
      <w:r>
        <w:tab/>
      </w:r>
      <w:r>
        <w:fldChar w:fldCharType="begin"/>
      </w:r>
      <w:r>
        <w:instrText xml:space="preserve"> PAGEREF _Toc15271 </w:instrText>
      </w:r>
      <w:r>
        <w:fldChar w:fldCharType="separate"/>
      </w:r>
      <w:r>
        <w:t>12</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_Toc12142 </w:instrText>
      </w:r>
      <w:r>
        <w:rPr>
          <w:rFonts w:hint="eastAsia" w:ascii="宋体" w:hAnsi="宋体" w:cs="宋体"/>
          <w:szCs w:val="28"/>
        </w:rPr>
        <w:fldChar w:fldCharType="separate"/>
      </w:r>
      <w:r>
        <w:rPr>
          <w:rFonts w:hint="eastAsia"/>
        </w:rPr>
        <w:t>四、响应文件的递交</w:t>
      </w:r>
      <w:r>
        <w:tab/>
      </w:r>
      <w:r>
        <w:fldChar w:fldCharType="begin"/>
      </w:r>
      <w:r>
        <w:instrText xml:space="preserve"> PAGEREF _Toc12142 </w:instrText>
      </w:r>
      <w:r>
        <w:fldChar w:fldCharType="separate"/>
      </w:r>
      <w:r>
        <w:t>14</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_Toc16937 </w:instrText>
      </w:r>
      <w:r>
        <w:rPr>
          <w:rFonts w:hint="eastAsia" w:ascii="宋体" w:hAnsi="宋体" w:cs="宋体"/>
          <w:szCs w:val="28"/>
        </w:rPr>
        <w:fldChar w:fldCharType="separate"/>
      </w:r>
      <w:r>
        <w:rPr>
          <w:rFonts w:hint="eastAsia"/>
        </w:rPr>
        <w:t>五、开标与评标</w:t>
      </w:r>
      <w:r>
        <w:tab/>
      </w:r>
      <w:r>
        <w:fldChar w:fldCharType="begin"/>
      </w:r>
      <w:r>
        <w:instrText xml:space="preserve"> PAGEREF _Toc16937 </w:instrText>
      </w:r>
      <w:r>
        <w:fldChar w:fldCharType="separate"/>
      </w:r>
      <w:r>
        <w:t>14</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_Toc1973 </w:instrText>
      </w:r>
      <w:r>
        <w:rPr>
          <w:rFonts w:hint="eastAsia" w:ascii="宋体" w:hAnsi="宋体" w:cs="宋体"/>
          <w:szCs w:val="28"/>
        </w:rPr>
        <w:fldChar w:fldCharType="separate"/>
      </w:r>
      <w:r>
        <w:rPr>
          <w:rFonts w:hint="eastAsia"/>
        </w:rPr>
        <w:t>六、签订及履行合同和验收</w:t>
      </w:r>
      <w:r>
        <w:tab/>
      </w:r>
      <w:r>
        <w:fldChar w:fldCharType="begin"/>
      </w:r>
      <w:r>
        <w:instrText xml:space="preserve"> PAGEREF _Toc1973 </w:instrText>
      </w:r>
      <w:r>
        <w:fldChar w:fldCharType="separate"/>
      </w:r>
      <w:r>
        <w:t>17</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_Toc9740 </w:instrText>
      </w:r>
      <w:r>
        <w:rPr>
          <w:rFonts w:hint="eastAsia" w:ascii="宋体" w:hAnsi="宋体" w:cs="宋体"/>
          <w:szCs w:val="28"/>
        </w:rPr>
        <w:fldChar w:fldCharType="separate"/>
      </w:r>
      <w:r>
        <w:rPr>
          <w:rFonts w:hint="eastAsia"/>
        </w:rPr>
        <w:t>七、 废 标</w:t>
      </w:r>
      <w:r>
        <w:tab/>
      </w:r>
      <w:r>
        <w:fldChar w:fldCharType="begin"/>
      </w:r>
      <w:r>
        <w:instrText xml:space="preserve"> PAGEREF _Toc9740 </w:instrText>
      </w:r>
      <w:r>
        <w:fldChar w:fldCharType="separate"/>
      </w:r>
      <w:r>
        <w:t>19</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_Toc1413 </w:instrText>
      </w:r>
      <w:r>
        <w:rPr>
          <w:rFonts w:hint="eastAsia" w:ascii="宋体" w:hAnsi="宋体" w:cs="宋体"/>
          <w:szCs w:val="28"/>
        </w:rPr>
        <w:fldChar w:fldCharType="separate"/>
      </w:r>
      <w:r>
        <w:rPr>
          <w:rFonts w:hint="eastAsia"/>
        </w:rPr>
        <w:t>八、质疑和投诉</w:t>
      </w:r>
      <w:r>
        <w:tab/>
      </w:r>
      <w:r>
        <w:fldChar w:fldCharType="begin"/>
      </w:r>
      <w:r>
        <w:instrText xml:space="preserve"> PAGEREF _Toc1413 </w:instrText>
      </w:r>
      <w:r>
        <w:fldChar w:fldCharType="separate"/>
      </w:r>
      <w:r>
        <w:t>19</w:t>
      </w:r>
      <w:r>
        <w:fldChar w:fldCharType="end"/>
      </w:r>
      <w:r>
        <w:rPr>
          <w:rFonts w:hint="eastAsia" w:ascii="宋体" w:hAnsi="宋体" w:cs="宋体"/>
          <w:szCs w:val="28"/>
        </w:rPr>
        <w:fldChar w:fldCharType="end"/>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_Toc24911 </w:instrText>
      </w:r>
      <w:r>
        <w:rPr>
          <w:rFonts w:hint="eastAsia" w:ascii="宋体" w:hAnsi="宋体" w:cs="宋体"/>
          <w:szCs w:val="28"/>
        </w:rPr>
        <w:fldChar w:fldCharType="separate"/>
      </w:r>
      <w:r>
        <w:t>第三章合同条款（参考）</w:t>
      </w:r>
      <w:r>
        <w:rPr>
          <w:rFonts w:ascii="宋体" w:hAnsi="宋体" w:cs="宋体"/>
          <w:w w:val="105"/>
          <w:szCs w:val="20"/>
        </w:rPr>
        <w:t>合同编号：</w:t>
      </w:r>
      <w:r>
        <w:tab/>
      </w:r>
      <w:r>
        <w:fldChar w:fldCharType="begin"/>
      </w:r>
      <w:r>
        <w:instrText xml:space="preserve"> PAGEREF _Toc24911 </w:instrText>
      </w:r>
      <w:r>
        <w:fldChar w:fldCharType="separate"/>
      </w:r>
      <w:r>
        <w:t>20</w:t>
      </w:r>
      <w:r>
        <w:fldChar w:fldCharType="end"/>
      </w:r>
      <w:r>
        <w:rPr>
          <w:rFonts w:hint="eastAsia" w:ascii="宋体" w:hAnsi="宋体" w:cs="宋体"/>
          <w:szCs w:val="28"/>
        </w:rPr>
        <w:fldChar w:fldCharType="end"/>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_Toc8773 </w:instrText>
      </w:r>
      <w:r>
        <w:rPr>
          <w:rFonts w:hint="eastAsia" w:ascii="宋体" w:hAnsi="宋体" w:cs="宋体"/>
          <w:szCs w:val="28"/>
        </w:rPr>
        <w:fldChar w:fldCharType="separate"/>
      </w:r>
      <w:r>
        <w:t>第</w:t>
      </w:r>
      <w:r>
        <w:rPr>
          <w:rFonts w:hint="eastAsia"/>
        </w:rPr>
        <w:t>四</w:t>
      </w:r>
      <w:r>
        <w:t>章采购清单</w:t>
      </w:r>
      <w:r>
        <w:rPr>
          <w:rFonts w:hint="eastAsia"/>
        </w:rPr>
        <w:t>及技术参数要求</w:t>
      </w:r>
      <w:r>
        <w:tab/>
      </w:r>
      <w:r>
        <w:fldChar w:fldCharType="begin"/>
      </w:r>
      <w:r>
        <w:instrText xml:space="preserve"> PAGEREF _Toc8773 </w:instrText>
      </w:r>
      <w:r>
        <w:fldChar w:fldCharType="separate"/>
      </w:r>
      <w:r>
        <w:t>24</w:t>
      </w:r>
      <w:r>
        <w:fldChar w:fldCharType="end"/>
      </w:r>
      <w:r>
        <w:rPr>
          <w:rFonts w:hint="eastAsia" w:ascii="宋体" w:hAnsi="宋体" w:cs="宋体"/>
          <w:szCs w:val="28"/>
        </w:rPr>
        <w:fldChar w:fldCharType="end"/>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_Toc22935 </w:instrText>
      </w:r>
      <w:r>
        <w:rPr>
          <w:rFonts w:hint="eastAsia" w:ascii="宋体" w:hAnsi="宋体" w:cs="宋体"/>
          <w:szCs w:val="28"/>
        </w:rPr>
        <w:fldChar w:fldCharType="separate"/>
      </w:r>
      <w:r>
        <w:t>第</w:t>
      </w:r>
      <w:r>
        <w:rPr>
          <w:rFonts w:hint="eastAsia"/>
        </w:rPr>
        <w:t>五</w:t>
      </w:r>
      <w:r>
        <w:t>章评标办法</w:t>
      </w:r>
      <w:r>
        <w:rPr>
          <w:rFonts w:hint="eastAsia"/>
        </w:rPr>
        <w:t>（综合评</w:t>
      </w:r>
      <w:r>
        <w:rPr>
          <w:rFonts w:hint="eastAsia"/>
          <w:lang w:eastAsia="zh-CN"/>
        </w:rPr>
        <w:t>估</w:t>
      </w:r>
      <w:r>
        <w:rPr>
          <w:rFonts w:hint="eastAsia"/>
        </w:rPr>
        <w:t>法）</w:t>
      </w:r>
      <w:r>
        <w:tab/>
      </w:r>
      <w:r>
        <w:fldChar w:fldCharType="begin"/>
      </w:r>
      <w:r>
        <w:instrText xml:space="preserve"> PAGEREF _Toc22935 </w:instrText>
      </w:r>
      <w:r>
        <w:fldChar w:fldCharType="separate"/>
      </w:r>
      <w:r>
        <w:t>52</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_Toc8053 </w:instrText>
      </w:r>
      <w:r>
        <w:rPr>
          <w:rFonts w:hint="eastAsia" w:ascii="宋体" w:hAnsi="宋体" w:cs="宋体"/>
          <w:szCs w:val="28"/>
        </w:rPr>
        <w:fldChar w:fldCharType="separate"/>
      </w:r>
      <w:r>
        <w:rPr>
          <w:rFonts w:hint="eastAsia"/>
        </w:rPr>
        <w:t>1.评标方法</w:t>
      </w:r>
      <w:r>
        <w:tab/>
      </w:r>
      <w:r>
        <w:fldChar w:fldCharType="begin"/>
      </w:r>
      <w:r>
        <w:instrText xml:space="preserve"> PAGEREF _Toc8053 </w:instrText>
      </w:r>
      <w:r>
        <w:fldChar w:fldCharType="separate"/>
      </w:r>
      <w:r>
        <w:t>54</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_Toc15118 </w:instrText>
      </w:r>
      <w:r>
        <w:rPr>
          <w:rFonts w:hint="eastAsia" w:ascii="宋体" w:hAnsi="宋体" w:cs="宋体"/>
          <w:szCs w:val="28"/>
        </w:rPr>
        <w:fldChar w:fldCharType="separate"/>
      </w:r>
      <w:r>
        <w:rPr>
          <w:rFonts w:hint="eastAsia"/>
        </w:rPr>
        <w:t>2.评审标准</w:t>
      </w:r>
      <w:r>
        <w:tab/>
      </w:r>
      <w:r>
        <w:fldChar w:fldCharType="begin"/>
      </w:r>
      <w:r>
        <w:instrText xml:space="preserve"> PAGEREF _Toc15118 </w:instrText>
      </w:r>
      <w:r>
        <w:fldChar w:fldCharType="separate"/>
      </w:r>
      <w:r>
        <w:t>54</w:t>
      </w:r>
      <w:r>
        <w:fldChar w:fldCharType="end"/>
      </w:r>
      <w:r>
        <w:rPr>
          <w:rFonts w:hint="eastAsia" w:ascii="宋体" w:hAnsi="宋体" w:cs="宋体"/>
          <w:szCs w:val="28"/>
        </w:rPr>
        <w:fldChar w:fldCharType="end"/>
      </w:r>
    </w:p>
    <w:p>
      <w:pPr>
        <w:pStyle w:val="24"/>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_Toc20122 </w:instrText>
      </w:r>
      <w:r>
        <w:rPr>
          <w:rFonts w:hint="eastAsia" w:ascii="宋体" w:hAnsi="宋体" w:cs="宋体"/>
          <w:szCs w:val="28"/>
        </w:rPr>
        <w:fldChar w:fldCharType="separate"/>
      </w:r>
      <w:r>
        <w:rPr>
          <w:rFonts w:hint="eastAsia" w:ascii="宋体" w:hAnsi="宋体" w:cs="宋体"/>
        </w:rPr>
        <w:t>3.评标程序</w:t>
      </w:r>
      <w:r>
        <w:tab/>
      </w:r>
      <w:r>
        <w:fldChar w:fldCharType="begin"/>
      </w:r>
      <w:r>
        <w:instrText xml:space="preserve"> PAGEREF _Toc20122 </w:instrText>
      </w:r>
      <w:r>
        <w:fldChar w:fldCharType="separate"/>
      </w:r>
      <w:r>
        <w:t>55</w:t>
      </w:r>
      <w:r>
        <w:fldChar w:fldCharType="end"/>
      </w:r>
      <w:r>
        <w:rPr>
          <w:rFonts w:hint="eastAsia" w:ascii="宋体" w:hAnsi="宋体" w:cs="宋体"/>
          <w:szCs w:val="28"/>
        </w:rPr>
        <w:fldChar w:fldCharType="end"/>
      </w:r>
    </w:p>
    <w:p>
      <w:pPr>
        <w:pStyle w:val="21"/>
        <w:keepNext w:val="0"/>
        <w:keepLines w:val="0"/>
        <w:pageBreakBefore w:val="0"/>
        <w:widowControl w:val="0"/>
        <w:tabs>
          <w:tab w:val="right" w:leader="dot" w:pos="8080"/>
        </w:tabs>
        <w:kinsoku/>
        <w:wordWrap/>
        <w:overflowPunct/>
        <w:topLinePunct w:val="0"/>
        <w:autoSpaceDE/>
        <w:autoSpaceDN/>
        <w:bidi w:val="0"/>
        <w:adjustRightInd/>
        <w:snapToGrid/>
        <w:spacing w:line="480" w:lineRule="auto"/>
        <w:textAlignment w:val="auto"/>
      </w:pPr>
      <w:r>
        <w:rPr>
          <w:rFonts w:hint="eastAsia" w:ascii="宋体" w:hAnsi="宋体" w:cs="宋体"/>
          <w:szCs w:val="28"/>
        </w:rPr>
        <w:fldChar w:fldCharType="begin"/>
      </w:r>
      <w:r>
        <w:rPr>
          <w:rFonts w:hint="eastAsia" w:ascii="宋体" w:hAnsi="宋体" w:cs="宋体"/>
          <w:szCs w:val="28"/>
        </w:rPr>
        <w:instrText xml:space="preserve"> HYPERLINK \l _Toc5918 </w:instrText>
      </w:r>
      <w:r>
        <w:rPr>
          <w:rFonts w:hint="eastAsia" w:ascii="宋体" w:hAnsi="宋体" w:cs="宋体"/>
          <w:szCs w:val="28"/>
        </w:rPr>
        <w:fldChar w:fldCharType="separate"/>
      </w:r>
      <w:r>
        <w:t>第</w:t>
      </w:r>
      <w:r>
        <w:rPr>
          <w:rFonts w:hint="eastAsia"/>
        </w:rPr>
        <w:t>六</w:t>
      </w:r>
      <w:r>
        <w:t>章</w:t>
      </w:r>
      <w:r>
        <w:rPr>
          <w:rFonts w:hint="eastAsia"/>
        </w:rPr>
        <w:t>响应</w:t>
      </w:r>
      <w:r>
        <w:t>文件格式</w:t>
      </w:r>
      <w:r>
        <w:tab/>
      </w:r>
      <w:r>
        <w:fldChar w:fldCharType="begin"/>
      </w:r>
      <w:r>
        <w:instrText xml:space="preserve"> PAGEREF _Toc5918 </w:instrText>
      </w:r>
      <w:r>
        <w:fldChar w:fldCharType="separate"/>
      </w:r>
      <w:r>
        <w:t>56</w:t>
      </w:r>
      <w:r>
        <w:fldChar w:fldCharType="end"/>
      </w:r>
      <w:r>
        <w:rPr>
          <w:rFonts w:hint="eastAsia" w:ascii="宋体" w:hAnsi="宋体" w:cs="宋体"/>
          <w:szCs w:val="28"/>
        </w:rPr>
        <w:fldChar w:fldCharType="end"/>
      </w:r>
    </w:p>
    <w:p>
      <w:pPr>
        <w:pStyle w:val="27"/>
        <w:keepNext w:val="0"/>
        <w:keepLines w:val="0"/>
        <w:pageBreakBefore w:val="0"/>
        <w:widowControl w:val="0"/>
        <w:kinsoku/>
        <w:wordWrap/>
        <w:overflowPunct/>
        <w:topLinePunct w:val="0"/>
        <w:autoSpaceDE/>
        <w:autoSpaceDN/>
        <w:bidi w:val="0"/>
        <w:adjustRightInd/>
        <w:snapToGrid/>
        <w:spacing w:line="480" w:lineRule="auto"/>
        <w:ind w:firstLine="480"/>
        <w:textAlignment w:val="auto"/>
        <w:rPr>
          <w:rFonts w:ascii="宋体" w:hAnsi="宋体" w:cs="宋体"/>
          <w:sz w:val="24"/>
          <w:szCs w:val="24"/>
        </w:rPr>
      </w:pPr>
      <w:r>
        <w:rPr>
          <w:rFonts w:hint="eastAsia" w:ascii="宋体" w:hAnsi="宋体" w:cs="宋体"/>
          <w:szCs w:val="28"/>
        </w:rPr>
        <w:fldChar w:fldCharType="end"/>
      </w:r>
    </w:p>
    <w:p>
      <w:pPr>
        <w:pStyle w:val="3"/>
        <w:numPr>
          <w:ilvl w:val="0"/>
          <w:numId w:val="1"/>
        </w:numPr>
        <w:spacing w:line="360" w:lineRule="auto"/>
        <w:jc w:val="center"/>
      </w:pPr>
      <w:bookmarkStart w:id="0" w:name="_Toc28840"/>
      <w:r>
        <w:rPr>
          <w:rFonts w:hint="eastAsia"/>
        </w:rPr>
        <w:br w:type="page"/>
      </w:r>
      <w:bookmarkStart w:id="1" w:name="_Toc20751"/>
      <w:r>
        <w:rPr>
          <w:rFonts w:hint="eastAsia"/>
        </w:rPr>
        <w:t>采购</w:t>
      </w:r>
      <w:r>
        <w:t>公告</w:t>
      </w:r>
      <w:bookmarkEnd w:id="0"/>
      <w:bookmarkEnd w:id="1"/>
      <w:bookmarkStart w:id="2" w:name="_Toc32417"/>
    </w:p>
    <w:bookmarkEnd w:id="2"/>
    <w:p>
      <w:pPr>
        <w:spacing w:line="360" w:lineRule="auto"/>
        <w:jc w:val="center"/>
        <w:rPr>
          <w:b/>
          <w:bCs/>
        </w:rPr>
      </w:pPr>
      <w:r>
        <w:rPr>
          <w:rFonts w:hint="eastAsia"/>
          <w:b/>
          <w:bCs/>
          <w:lang w:eastAsia="zh-CN"/>
        </w:rPr>
        <w:t>睢县2022年第二批义务教育薄弱环节改善与能力提升教育设备项目</w:t>
      </w:r>
      <w:r>
        <w:rPr>
          <w:rFonts w:hint="eastAsia"/>
          <w:b/>
          <w:bCs/>
        </w:rPr>
        <w:t>采购公告</w:t>
      </w:r>
    </w:p>
    <w:p>
      <w:pPr>
        <w:pStyle w:val="11"/>
        <w:spacing w:before="74" w:line="360" w:lineRule="auto"/>
        <w:ind w:firstLine="46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eastAsia="zh-CN"/>
        </w:rPr>
        <w:t>亿鑫工程咨询有限公司</w:t>
      </w:r>
      <w:r>
        <w:rPr>
          <w:rFonts w:hint="eastAsia" w:asciiTheme="minorEastAsia" w:hAnsiTheme="minorEastAsia" w:eastAsiaTheme="minorEastAsia" w:cstheme="minorEastAsia"/>
          <w:spacing w:val="-5"/>
          <w:sz w:val="24"/>
          <w:szCs w:val="24"/>
        </w:rPr>
        <w:t>受睢县教育体育局的委托，对</w:t>
      </w:r>
      <w:r>
        <w:rPr>
          <w:rFonts w:hint="eastAsia" w:asciiTheme="minorEastAsia" w:hAnsiTheme="minorEastAsia" w:eastAsiaTheme="minorEastAsia" w:cstheme="minorEastAsia"/>
          <w:spacing w:val="-5"/>
          <w:sz w:val="24"/>
          <w:szCs w:val="24"/>
          <w:lang w:eastAsia="zh-CN"/>
        </w:rPr>
        <w:t>睢县2022年第二批义务教育薄弱环节改善与能力提升教育设备项目</w:t>
      </w:r>
      <w:r>
        <w:rPr>
          <w:rFonts w:hint="eastAsia" w:asciiTheme="minorEastAsia" w:hAnsiTheme="minorEastAsia" w:eastAsiaTheme="minorEastAsia" w:cstheme="minorEastAsia"/>
          <w:spacing w:val="-2"/>
          <w:sz w:val="24"/>
          <w:szCs w:val="24"/>
        </w:rPr>
        <w:t>进行公开招标，欢迎符合资格条件的供</w:t>
      </w:r>
      <w:r>
        <w:rPr>
          <w:rFonts w:hint="eastAsia" w:asciiTheme="minorEastAsia" w:hAnsiTheme="minorEastAsia" w:eastAsiaTheme="minorEastAsia" w:cstheme="minorEastAsia"/>
          <w:sz w:val="24"/>
          <w:szCs w:val="24"/>
        </w:rPr>
        <w:t>应商参与，现将招标事宜公布如下：</w:t>
      </w:r>
    </w:p>
    <w:p>
      <w:pPr>
        <w:spacing w:line="360" w:lineRule="auto"/>
        <w:rPr>
          <w:b/>
          <w:bCs/>
        </w:rPr>
      </w:pPr>
      <w:bookmarkStart w:id="3" w:name="_Toc6393"/>
      <w:r>
        <w:rPr>
          <w:rFonts w:hint="eastAsia"/>
          <w:b/>
          <w:bCs/>
        </w:rPr>
        <w:t>一 、项目概况与采购内容：</w:t>
      </w:r>
      <w:bookmarkEnd w:id="3"/>
    </w:p>
    <w:p>
      <w:pPr>
        <w:pStyle w:val="11"/>
        <w:spacing w:before="74"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项目名称：</w:t>
      </w:r>
      <w:r>
        <w:rPr>
          <w:rFonts w:hint="eastAsia" w:asciiTheme="minorEastAsia" w:hAnsiTheme="minorEastAsia" w:eastAsiaTheme="minorEastAsia" w:cstheme="minorEastAsia"/>
          <w:sz w:val="24"/>
          <w:szCs w:val="24"/>
          <w:lang w:eastAsia="zh-CN"/>
        </w:rPr>
        <w:t>睢县2022年第二批义务教育薄弱环节改善与能力提升教育设备项目</w:t>
      </w:r>
      <w:r>
        <w:rPr>
          <w:rFonts w:hint="eastAsia" w:asciiTheme="minorEastAsia" w:hAnsiTheme="minorEastAsia" w:eastAsiaTheme="minorEastAsia" w:cstheme="minorEastAsia"/>
          <w:sz w:val="24"/>
          <w:szCs w:val="24"/>
        </w:rPr>
        <w:t>；</w:t>
      </w:r>
    </w:p>
    <w:p>
      <w:pPr>
        <w:pStyle w:val="11"/>
        <w:spacing w:before="74" w:line="360" w:lineRule="auto"/>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1.2采购编号：采购编号：</w:t>
      </w:r>
      <w:r>
        <w:rPr>
          <w:rFonts w:hint="eastAsia" w:ascii="宋体" w:hAnsi="宋体" w:cs="宋体"/>
          <w:color w:val="000000" w:themeColor="text1"/>
          <w:spacing w:val="-1"/>
          <w:sz w:val="30"/>
          <w:szCs w:val="30"/>
          <w:lang w:val="en-US" w:eastAsia="zh-CN"/>
          <w14:textFill>
            <w14:solidFill>
              <w14:schemeClr w14:val="tx1"/>
            </w14:solidFill>
          </w14:textFill>
        </w:rPr>
        <w:t>2022-08-22</w:t>
      </w:r>
    </w:p>
    <w:p>
      <w:pPr>
        <w:pStyle w:val="11"/>
        <w:spacing w:before="74" w:line="360" w:lineRule="auto"/>
        <w:ind w:firstLine="240" w:firstLineChars="100"/>
        <w:rPr>
          <w:rFonts w:asciiTheme="minorEastAsia" w:hAnsiTheme="minorEastAsia" w:cstheme="minorEastAsia"/>
          <w:sz w:val="24"/>
          <w:szCs w:val="24"/>
          <w:highlight w:val="red"/>
        </w:rPr>
      </w:pPr>
      <w:r>
        <w:rPr>
          <w:rFonts w:hint="eastAsia" w:asciiTheme="minorEastAsia" w:hAnsiTheme="minorEastAsia" w:eastAsiaTheme="minorEastAsia" w:cstheme="minorEastAsia"/>
          <w:sz w:val="24"/>
          <w:szCs w:val="24"/>
        </w:rPr>
        <w:t>1.3 交货期及质保期：交货期：</w:t>
      </w:r>
      <w:r>
        <w:rPr>
          <w:rFonts w:hint="eastAsia" w:cs="宋体"/>
          <w:color w:val="000000"/>
          <w:sz w:val="24"/>
        </w:rPr>
        <w:t>合同签订</w:t>
      </w:r>
      <w:r>
        <w:rPr>
          <w:rFonts w:hint="eastAsia" w:cs="宋体"/>
          <w:sz w:val="24"/>
        </w:rPr>
        <w:t>后30日历天，质保期：三年</w:t>
      </w:r>
    </w:p>
    <w:p>
      <w:pPr>
        <w:pStyle w:val="11"/>
        <w:spacing w:before="67"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1.4交货地点：采购人指定地点</w:t>
      </w:r>
    </w:p>
    <w:p>
      <w:pPr>
        <w:pStyle w:val="11"/>
        <w:spacing w:before="74"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1.5资金来源：财政资金；</w:t>
      </w:r>
    </w:p>
    <w:p>
      <w:pPr>
        <w:pStyle w:val="11"/>
        <w:spacing w:before="74"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采购</w:t>
      </w:r>
      <w:r>
        <w:rPr>
          <w:rFonts w:hint="eastAsia" w:asciiTheme="minorEastAsia" w:hAnsiTheme="minorEastAsia" w:eastAsiaTheme="minorEastAsia" w:cstheme="minorEastAsia"/>
          <w:sz w:val="24"/>
          <w:szCs w:val="24"/>
          <w:lang w:eastAsia="zh-CN"/>
        </w:rPr>
        <w:t>金额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405</w:t>
      </w:r>
      <w:r>
        <w:rPr>
          <w:rFonts w:hint="eastAsia" w:asciiTheme="minorEastAsia" w:hAnsiTheme="minorEastAsia" w:eastAsiaTheme="minorEastAsia" w:cstheme="minorEastAsia"/>
          <w:sz w:val="24"/>
          <w:szCs w:val="24"/>
        </w:rPr>
        <w:t>万元；</w:t>
      </w:r>
    </w:p>
    <w:p>
      <w:pPr>
        <w:pStyle w:val="11"/>
        <w:spacing w:before="67" w:line="360" w:lineRule="auto"/>
        <w:ind w:firstLine="240"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1.7项目内容及要求：</w:t>
      </w:r>
      <w:r>
        <w:rPr>
          <w:rFonts w:hint="eastAsia" w:asciiTheme="minorEastAsia" w:hAnsiTheme="minorEastAsia" w:eastAsiaTheme="minorEastAsia" w:cstheme="minorEastAsia"/>
          <w:sz w:val="24"/>
          <w:szCs w:val="24"/>
          <w:lang w:eastAsia="zh-CN"/>
        </w:rPr>
        <w:t>睢县2022年第二批义务教育薄弱环节改善与能力提升教育设备项目</w:t>
      </w:r>
      <w:r>
        <w:rPr>
          <w:rFonts w:hint="eastAsia" w:asciiTheme="minorEastAsia" w:hAnsiTheme="minorEastAsia" w:eastAsiaTheme="minorEastAsia" w:cstheme="minorEastAsia"/>
          <w:sz w:val="24"/>
          <w:szCs w:val="24"/>
        </w:rPr>
        <w:t>（详见采购清单及技术参数要求）</w:t>
      </w:r>
    </w:p>
    <w:p>
      <w:pPr>
        <w:pStyle w:val="11"/>
        <w:spacing w:before="17"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1.8质量要求：合格；</w:t>
      </w:r>
    </w:p>
    <w:p>
      <w:pPr>
        <w:pStyle w:val="11"/>
        <w:spacing w:before="67"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1.9标段划分：</w:t>
      </w:r>
    </w:p>
    <w:p>
      <w:pPr>
        <w:pStyle w:val="11"/>
        <w:tabs>
          <w:tab w:val="left" w:pos="5877"/>
        </w:tabs>
        <w:spacing w:before="74"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一标段：教育信息化设备      </w:t>
      </w:r>
    </w:p>
    <w:p>
      <w:pPr>
        <w:pStyle w:val="11"/>
        <w:spacing w:before="74" w:line="360" w:lineRule="auto"/>
        <w:ind w:firstLine="240"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需要落实的政府采购政策：扶持不发达地区和少数民族地区，促进中小企业和监狱企业发展扶持政策。</w:t>
      </w:r>
    </w:p>
    <w:p>
      <w:pPr>
        <w:spacing w:line="360" w:lineRule="auto"/>
        <w:rPr>
          <w:b/>
          <w:bCs/>
        </w:rPr>
      </w:pPr>
      <w:bookmarkStart w:id="4" w:name="_Toc14462"/>
      <w:r>
        <w:rPr>
          <w:rFonts w:hint="eastAsia"/>
          <w:b/>
          <w:bCs/>
        </w:rPr>
        <w:t>二、供应商资格要求：</w:t>
      </w:r>
      <w:bookmarkEnd w:id="4"/>
    </w:p>
    <w:p>
      <w:pPr>
        <w:pStyle w:val="11"/>
        <w:spacing w:before="74"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2.1供应商须符合《中华人民共和国政府采购法》第二十二条之规定：</w:t>
      </w:r>
    </w:p>
    <w:p>
      <w:pPr>
        <w:pStyle w:val="11"/>
        <w:spacing w:before="74" w:line="360" w:lineRule="auto"/>
        <w:ind w:firstLine="240"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pacing w:val="-8"/>
          <w:sz w:val="24"/>
          <w:szCs w:val="24"/>
        </w:rPr>
        <w:t>供应商具有独立法人资格，具有有效的营业执照（副本）、税务登记证（副本）、</w:t>
      </w:r>
      <w:r>
        <w:rPr>
          <w:rFonts w:hint="eastAsia" w:asciiTheme="minorEastAsia" w:hAnsiTheme="minorEastAsia" w:eastAsiaTheme="minorEastAsia" w:cstheme="minorEastAsia"/>
          <w:sz w:val="24"/>
          <w:szCs w:val="24"/>
        </w:rPr>
        <w:t>组织机构代码证（副本）或三证合一的营业执照副本；</w:t>
      </w:r>
    </w:p>
    <w:p>
      <w:pPr>
        <w:pStyle w:val="11"/>
        <w:spacing w:line="360" w:lineRule="auto"/>
        <w:ind w:firstLine="240" w:firstLineChars="1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pacing w:val="10"/>
          <w:sz w:val="24"/>
          <w:szCs w:val="24"/>
        </w:rPr>
        <w:t>根据《关于在政府采购活动中查询及使用信用记录有关问题的通知》(财库</w:t>
      </w:r>
      <w:r>
        <w:rPr>
          <w:rFonts w:hint="eastAsia" w:asciiTheme="minorEastAsia" w:hAnsiTheme="minorEastAsia" w:eastAsiaTheme="minorEastAsia" w:cstheme="minorEastAsia"/>
          <w:sz w:val="24"/>
          <w:szCs w:val="24"/>
        </w:rPr>
        <w:t xml:space="preserve">[2016]125 </w:t>
      </w:r>
      <w:r>
        <w:rPr>
          <w:rFonts w:hint="eastAsia" w:asciiTheme="minorEastAsia" w:hAnsiTheme="minorEastAsia" w:eastAsiaTheme="minorEastAsia" w:cstheme="minorEastAsia"/>
          <w:spacing w:val="-6"/>
          <w:sz w:val="24"/>
          <w:szCs w:val="24"/>
        </w:rPr>
        <w:t>号)的规定，供应商需提供“信用中国”网站、</w:t>
      </w:r>
      <w:r>
        <w:rPr>
          <w:rFonts w:hint="eastAsia" w:asciiTheme="minorEastAsia" w:hAnsiTheme="minorEastAsia" w:eastAsiaTheme="minorEastAsia" w:cstheme="minorEastAsia"/>
          <w:sz w:val="24"/>
          <w:szCs w:val="24"/>
        </w:rPr>
        <w:t>中国政府采购网</w:t>
      </w:r>
      <w:r>
        <w:rPr>
          <w:rFonts w:hint="eastAsia" w:asciiTheme="minorEastAsia" w:hAnsiTheme="minorEastAsia" w:eastAsiaTheme="minorEastAsia" w:cstheme="minorEastAsia"/>
          <w:sz w:val="24"/>
          <w:szCs w:val="24"/>
          <w:lang w:eastAsia="zh-CN"/>
        </w:rPr>
        <w:t>站</w:t>
      </w:r>
      <w:r>
        <w:rPr>
          <w:rFonts w:hint="eastAsia" w:asciiTheme="minorEastAsia" w:hAnsiTheme="minorEastAsia" w:eastAsiaTheme="minorEastAsia" w:cstheme="minorEastAsia"/>
          <w:sz w:val="24"/>
          <w:szCs w:val="24"/>
        </w:rPr>
        <w:t>的信用记录，被列入失信被执行人、重大税收违</w:t>
      </w:r>
      <w:r>
        <w:rPr>
          <w:rFonts w:hint="eastAsia" w:asciiTheme="minorEastAsia" w:hAnsiTheme="minorEastAsia" w:eastAsiaTheme="minorEastAsia" w:cstheme="minorEastAsia"/>
          <w:spacing w:val="-2"/>
          <w:sz w:val="24"/>
          <w:szCs w:val="24"/>
        </w:rPr>
        <w:t>法案件当事人名单、政府采购严重违法失信行为记录名单的单位将被拒绝参与本项目政府采购活动（供应商应在本公告发布后对本单位信用信息进行查询并将查询的扫描件加盖公</w:t>
      </w:r>
      <w:r>
        <w:rPr>
          <w:rFonts w:hint="eastAsia" w:asciiTheme="minorEastAsia" w:hAnsiTheme="minorEastAsia" w:eastAsiaTheme="minorEastAsia" w:cstheme="minorEastAsia"/>
          <w:sz w:val="24"/>
          <w:szCs w:val="24"/>
        </w:rPr>
        <w:t>章做在响应文件中）</w:t>
      </w:r>
      <w:r>
        <w:rPr>
          <w:rFonts w:hint="eastAsia" w:asciiTheme="minorEastAsia" w:hAnsiTheme="minorEastAsia" w:eastAsiaTheme="minorEastAsia" w:cstheme="minorEastAsia"/>
          <w:sz w:val="24"/>
          <w:szCs w:val="24"/>
          <w:lang w:eastAsia="zh-CN"/>
        </w:rPr>
        <w:t>。</w:t>
      </w:r>
    </w:p>
    <w:p>
      <w:pPr>
        <w:pStyle w:val="11"/>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2.4</w:t>
      </w:r>
      <w:r>
        <w:rPr>
          <w:rFonts w:hint="eastAsia" w:ascii="宋体" w:hAnsi="宋体" w:eastAsia="宋体" w:cs="宋体"/>
          <w:i w:val="0"/>
          <w:iCs w:val="0"/>
          <w:caps w:val="0"/>
          <w:color w:val="000000"/>
          <w:spacing w:val="0"/>
          <w:sz w:val="24"/>
          <w:szCs w:val="24"/>
          <w:shd w:val="clear" w:fill="FFFFFF"/>
        </w:rPr>
        <w:t>根据《河南省社会信用条例》睢县发展和改革委员会和睢县社会信用体系建设领导小组办公室部门及相关文件要求，招标过程中需提供企业近期的《企业信用核查报告》，未提供造成的任何后果投标人自行承担。（详见睢县公共资源交易中心公告）</w:t>
      </w:r>
    </w:p>
    <w:p>
      <w:pPr>
        <w:spacing w:line="360" w:lineRule="auto"/>
        <w:ind w:firstLine="241" w:firstLineChars="100"/>
        <w:rPr>
          <w:rFonts w:asciiTheme="minorEastAsia" w:hAnsiTheme="minorEastAsia" w:eastAsiaTheme="minorEastAsia" w:cstheme="minorEastAsia"/>
          <w:b/>
          <w:bCs/>
        </w:rPr>
      </w:pPr>
      <w:r>
        <w:rPr>
          <w:rFonts w:hint="eastAsia" w:asciiTheme="minorEastAsia" w:hAnsiTheme="minorEastAsia" w:eastAsiaTheme="minorEastAsia" w:cstheme="minorEastAsia"/>
          <w:b/>
          <w:bCs/>
        </w:rPr>
        <w:t>2.</w:t>
      </w:r>
      <w:r>
        <w:rPr>
          <w:rFonts w:hint="eastAsia" w:asciiTheme="minorEastAsia" w:hAnsiTheme="minorEastAsia" w:eastAsiaTheme="minorEastAsia" w:cstheme="minorEastAsia"/>
          <w:b/>
          <w:bCs/>
          <w:lang w:val="en-US" w:eastAsia="zh-CN"/>
        </w:rPr>
        <w:t>5</w:t>
      </w:r>
      <w:r>
        <w:rPr>
          <w:rFonts w:hint="eastAsia" w:asciiTheme="minorEastAsia" w:hAnsiTheme="minorEastAsia" w:eastAsiaTheme="minorEastAsia" w:cstheme="minorEastAsia"/>
          <w:b/>
          <w:bCs/>
        </w:rPr>
        <w:t>本项目不接收联合体投标。</w:t>
      </w:r>
    </w:p>
    <w:p>
      <w:pPr>
        <w:spacing w:line="360" w:lineRule="auto"/>
        <w:rPr>
          <w:b/>
          <w:bCs/>
        </w:rPr>
      </w:pPr>
      <w:bookmarkStart w:id="5" w:name="_Toc5504"/>
      <w:r>
        <w:rPr>
          <w:rFonts w:hint="eastAsia"/>
          <w:b/>
          <w:bCs/>
        </w:rPr>
        <w:t>三、报名及采购文件获取：</w:t>
      </w:r>
      <w:bookmarkEnd w:id="5"/>
    </w:p>
    <w:p>
      <w:pPr>
        <w:spacing w:line="360" w:lineRule="auto"/>
        <w:ind w:firstLine="480" w:firstLineChars="200"/>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shd w:val="clear" w:color="auto" w:fill="FFFFFF"/>
        </w:rPr>
        <w:t>3.1本项目采用网上报名：凡有意参加投标者，登录睢县公共资源交易中心网站（</w:t>
      </w:r>
      <w:r>
        <w:fldChar w:fldCharType="begin"/>
      </w:r>
      <w:r>
        <w:instrText xml:space="preserve"> HYPERLINK "http://www.sxggzy.cn/" </w:instrText>
      </w:r>
      <w:r>
        <w:fldChar w:fldCharType="separate"/>
      </w:r>
      <w:r>
        <w:rPr>
          <w:rFonts w:hint="eastAsia" w:asciiTheme="minorEastAsia" w:hAnsiTheme="minorEastAsia" w:eastAsiaTheme="minorEastAsia" w:cstheme="minorEastAsia"/>
          <w:shd w:val="clear" w:color="auto" w:fill="FFFFFF"/>
        </w:rPr>
        <w:t>http://www.sxggzy.cn</w:t>
      </w:r>
      <w:r>
        <w:rPr>
          <w:rFonts w:hint="eastAsia" w:asciiTheme="minorEastAsia" w:hAnsiTheme="minorEastAsia" w:eastAsiaTheme="minorEastAsia" w:cstheme="minorEastAsia"/>
          <w:shd w:val="clear" w:color="auto" w:fill="FFFFFF"/>
        </w:rPr>
        <w:fldChar w:fldCharType="end"/>
      </w:r>
      <w:r>
        <w:rPr>
          <w:rFonts w:hint="eastAsia" w:asciiTheme="minorEastAsia" w:hAnsiTheme="minorEastAsia" w:eastAsiaTheme="minorEastAsia" w:cstheme="minorEastAsia"/>
          <w:shd w:val="clear" w:color="auto" w:fill="FFFFFF"/>
        </w:rPr>
        <w:t>）内网办公登录模块，请使用企业数字证书（key）进入网站用户界面进行网上报名并下载</w:t>
      </w:r>
      <w:r>
        <w:rPr>
          <w:rFonts w:hint="eastAsia" w:asciiTheme="minorEastAsia" w:hAnsiTheme="minorEastAsia" w:cstheme="minorEastAsia"/>
          <w:shd w:val="clear" w:color="auto" w:fill="FFFFFF"/>
        </w:rPr>
        <w:t>采购</w:t>
      </w:r>
      <w:r>
        <w:rPr>
          <w:rFonts w:hint="eastAsia" w:asciiTheme="minorEastAsia" w:hAnsiTheme="minorEastAsia" w:eastAsiaTheme="minorEastAsia" w:cstheme="minorEastAsia"/>
          <w:shd w:val="clear" w:color="auto" w:fill="FFFFFF"/>
        </w:rPr>
        <w:t>文件。</w:t>
      </w:r>
    </w:p>
    <w:p>
      <w:pPr>
        <w:pStyle w:val="26"/>
        <w:keepNext w:val="0"/>
        <w:keepLines w:val="0"/>
        <w:widowControl/>
        <w:suppressLineNumbers w:val="0"/>
        <w:spacing w:before="0" w:beforeAutospacing="0" w:after="0" w:afterAutospacing="0" w:line="360" w:lineRule="auto"/>
        <w:ind w:left="0" w:right="0" w:firstLine="480"/>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3.2</w:t>
      </w:r>
      <w:r>
        <w:rPr>
          <w:rFonts w:hint="eastAsia" w:ascii="宋体" w:hAnsi="宋体" w:eastAsia="宋体" w:cs="宋体"/>
          <w:color w:val="333333"/>
          <w:spacing w:val="15"/>
          <w:sz w:val="24"/>
          <w:szCs w:val="24"/>
          <w:shd w:val="clear" w:fill="FFFFFF"/>
        </w:rPr>
        <w:t>网上报名及采购文件下载时间：</w:t>
      </w:r>
      <w:r>
        <w:rPr>
          <w:rFonts w:hint="eastAsia" w:ascii="宋体" w:hAnsi="宋体" w:eastAsia="宋体" w:cs="宋体"/>
          <w:color w:val="333333"/>
          <w:spacing w:val="15"/>
          <w:sz w:val="24"/>
          <w:szCs w:val="24"/>
          <w:shd w:val="clear" w:fill="FFFFFF"/>
          <w:lang w:val="en-US"/>
        </w:rPr>
        <w:t>2022</w:t>
      </w:r>
      <w:r>
        <w:rPr>
          <w:rFonts w:hint="eastAsia" w:ascii="宋体" w:hAnsi="宋体" w:eastAsia="宋体" w:cs="宋体"/>
          <w:color w:val="333333"/>
          <w:spacing w:val="15"/>
          <w:sz w:val="24"/>
          <w:szCs w:val="24"/>
          <w:shd w:val="clear" w:fill="FFFFFF"/>
        </w:rPr>
        <w:t>年</w:t>
      </w:r>
      <w:r>
        <w:rPr>
          <w:rFonts w:hint="eastAsia" w:ascii="宋体" w:hAnsi="宋体" w:eastAsia="宋体" w:cs="宋体"/>
          <w:color w:val="333333"/>
          <w:spacing w:val="15"/>
          <w:sz w:val="24"/>
          <w:szCs w:val="24"/>
          <w:shd w:val="clear" w:fill="FFFFFF"/>
          <w:lang w:val="en-US"/>
        </w:rPr>
        <w:t>10</w:t>
      </w:r>
      <w:r>
        <w:rPr>
          <w:rFonts w:hint="eastAsia" w:ascii="宋体" w:hAnsi="宋体" w:eastAsia="宋体" w:cs="宋体"/>
          <w:color w:val="333333"/>
          <w:spacing w:val="15"/>
          <w:sz w:val="24"/>
          <w:szCs w:val="24"/>
          <w:shd w:val="clear" w:fill="FFFFFF"/>
        </w:rPr>
        <w:t>月</w:t>
      </w:r>
      <w:r>
        <w:rPr>
          <w:rFonts w:hint="eastAsia" w:ascii="宋体" w:hAnsi="宋体" w:cs="宋体"/>
          <w:color w:val="333333"/>
          <w:spacing w:val="15"/>
          <w:sz w:val="24"/>
          <w:szCs w:val="24"/>
          <w:shd w:val="clear" w:fill="FFFFFF"/>
          <w:lang w:val="en-US" w:eastAsia="zh-CN"/>
        </w:rPr>
        <w:t>26</w:t>
      </w:r>
      <w:r>
        <w:rPr>
          <w:rFonts w:hint="eastAsia" w:ascii="宋体" w:hAnsi="宋体" w:eastAsia="宋体" w:cs="宋体"/>
          <w:color w:val="333333"/>
          <w:spacing w:val="15"/>
          <w:sz w:val="24"/>
          <w:szCs w:val="24"/>
          <w:shd w:val="clear" w:fill="FFFFFF"/>
        </w:rPr>
        <w:t>日至</w:t>
      </w:r>
      <w:r>
        <w:rPr>
          <w:rFonts w:hint="eastAsia" w:ascii="宋体" w:hAnsi="宋体" w:eastAsia="宋体" w:cs="宋体"/>
          <w:color w:val="333333"/>
          <w:spacing w:val="15"/>
          <w:sz w:val="24"/>
          <w:szCs w:val="24"/>
          <w:shd w:val="clear" w:fill="FFFFFF"/>
          <w:lang w:val="en-US"/>
        </w:rPr>
        <w:t>2022</w:t>
      </w:r>
      <w:r>
        <w:rPr>
          <w:rFonts w:hint="eastAsia" w:ascii="宋体" w:hAnsi="宋体" w:eastAsia="宋体" w:cs="宋体"/>
          <w:color w:val="333333"/>
          <w:spacing w:val="15"/>
          <w:sz w:val="24"/>
          <w:szCs w:val="24"/>
          <w:shd w:val="clear" w:fill="FFFFFF"/>
        </w:rPr>
        <w:t>年</w:t>
      </w:r>
      <w:r>
        <w:rPr>
          <w:rFonts w:hint="eastAsia" w:ascii="宋体" w:hAnsi="宋体" w:eastAsia="宋体" w:cs="宋体"/>
          <w:color w:val="333333"/>
          <w:spacing w:val="15"/>
          <w:sz w:val="24"/>
          <w:szCs w:val="24"/>
          <w:shd w:val="clear" w:fill="FFFFFF"/>
          <w:lang w:val="en-US"/>
        </w:rPr>
        <w:t>1</w:t>
      </w:r>
      <w:r>
        <w:rPr>
          <w:rFonts w:hint="eastAsia" w:ascii="宋体" w:hAnsi="宋体" w:cs="宋体"/>
          <w:color w:val="333333"/>
          <w:spacing w:val="15"/>
          <w:sz w:val="24"/>
          <w:szCs w:val="24"/>
          <w:shd w:val="clear" w:fill="FFFFFF"/>
          <w:lang w:val="en-US" w:eastAsia="zh-CN"/>
        </w:rPr>
        <w:t>1</w:t>
      </w:r>
      <w:r>
        <w:rPr>
          <w:rFonts w:hint="eastAsia" w:ascii="宋体" w:hAnsi="宋体" w:eastAsia="宋体" w:cs="宋体"/>
          <w:color w:val="333333"/>
          <w:spacing w:val="15"/>
          <w:sz w:val="24"/>
          <w:szCs w:val="24"/>
          <w:shd w:val="clear" w:fill="FFFFFF"/>
        </w:rPr>
        <w:t>月</w:t>
      </w:r>
      <w:r>
        <w:rPr>
          <w:rFonts w:hint="eastAsia" w:ascii="宋体" w:hAnsi="宋体" w:cs="宋体"/>
          <w:color w:val="333333"/>
          <w:spacing w:val="15"/>
          <w:sz w:val="24"/>
          <w:szCs w:val="24"/>
          <w:shd w:val="clear" w:fill="FFFFFF"/>
          <w:lang w:val="en-US" w:eastAsia="zh-CN"/>
        </w:rPr>
        <w:t>16</w:t>
      </w:r>
      <w:r>
        <w:rPr>
          <w:rFonts w:hint="eastAsia" w:ascii="宋体" w:hAnsi="宋体" w:eastAsia="宋体" w:cs="宋体"/>
          <w:color w:val="333333"/>
          <w:spacing w:val="15"/>
          <w:sz w:val="24"/>
          <w:szCs w:val="24"/>
          <w:shd w:val="clear" w:fill="FFFFFF"/>
        </w:rPr>
        <w:t>日上午</w:t>
      </w:r>
      <w:r>
        <w:rPr>
          <w:rFonts w:hint="eastAsia" w:ascii="宋体" w:hAnsi="宋体" w:eastAsia="宋体" w:cs="宋体"/>
          <w:color w:val="333333"/>
          <w:spacing w:val="15"/>
          <w:sz w:val="24"/>
          <w:szCs w:val="24"/>
          <w:shd w:val="clear" w:fill="FFFFFF"/>
          <w:lang w:val="en-US"/>
        </w:rPr>
        <w:t>9</w:t>
      </w:r>
      <w:r>
        <w:rPr>
          <w:rFonts w:hint="eastAsia" w:ascii="宋体" w:hAnsi="宋体" w:eastAsia="宋体" w:cs="宋体"/>
          <w:color w:val="333333"/>
          <w:spacing w:val="15"/>
          <w:sz w:val="24"/>
          <w:szCs w:val="24"/>
          <w:shd w:val="clear" w:fill="FFFFFF"/>
        </w:rPr>
        <w:t>：</w:t>
      </w:r>
      <w:r>
        <w:rPr>
          <w:rFonts w:hint="eastAsia" w:ascii="宋体" w:hAnsi="宋体" w:eastAsia="宋体" w:cs="宋体"/>
          <w:color w:val="333333"/>
          <w:spacing w:val="15"/>
          <w:sz w:val="24"/>
          <w:szCs w:val="24"/>
          <w:shd w:val="clear" w:fill="FFFFFF"/>
          <w:lang w:val="en-US"/>
        </w:rPr>
        <w:t>00</w:t>
      </w:r>
      <w:r>
        <w:rPr>
          <w:rFonts w:hint="eastAsia" w:ascii="宋体" w:hAnsi="宋体" w:eastAsia="宋体" w:cs="宋体"/>
          <w:color w:val="333333"/>
          <w:spacing w:val="15"/>
          <w:sz w:val="24"/>
          <w:szCs w:val="24"/>
          <w:shd w:val="clear" w:fill="FFFFFF"/>
        </w:rPr>
        <w:t>整。</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请在规定时间内报名，超过时间将停止报名。</w:t>
      </w:r>
    </w:p>
    <w:p>
      <w:pPr>
        <w:pStyle w:val="26"/>
        <w:keepNext w:val="0"/>
        <w:keepLines w:val="0"/>
        <w:widowControl/>
        <w:suppressLineNumbers w:val="0"/>
        <w:spacing w:before="0" w:beforeAutospacing="0" w:after="0" w:afterAutospacing="0" w:line="360" w:lineRule="auto"/>
        <w:ind w:left="0" w:right="0" w:firstLine="480"/>
      </w:pPr>
      <w:r>
        <w:rPr>
          <w:rFonts w:hint="eastAsia" w:ascii="宋体" w:hAnsi="宋体" w:eastAsia="宋体" w:cs="宋体"/>
          <w:color w:val="333333"/>
          <w:spacing w:val="15"/>
          <w:sz w:val="24"/>
          <w:szCs w:val="24"/>
          <w:shd w:val="clear" w:fill="FFFFFF"/>
        </w:rPr>
        <w:t>本项目实行不见面开评标，供应商不需要再到现场（需要现场演示或样品展示的除外），供应商签到、投标文件线上解密、供应商在开评标过程中应保持系统登录状态。供应商应根据</w:t>
      </w:r>
      <w:r>
        <w:rPr>
          <w:rFonts w:hint="eastAsia" w:ascii="宋体" w:hAnsi="宋体" w:cs="宋体"/>
          <w:color w:val="333333"/>
          <w:spacing w:val="15"/>
          <w:sz w:val="24"/>
          <w:szCs w:val="24"/>
          <w:shd w:val="clear" w:fill="FFFFFF"/>
          <w:lang w:eastAsia="zh-CN"/>
        </w:rPr>
        <w:t>睢县</w:t>
      </w:r>
      <w:r>
        <w:rPr>
          <w:rFonts w:hint="eastAsia" w:ascii="宋体" w:hAnsi="宋体" w:eastAsia="宋体" w:cs="宋体"/>
          <w:color w:val="333333"/>
          <w:spacing w:val="15"/>
          <w:sz w:val="24"/>
          <w:szCs w:val="24"/>
          <w:shd w:val="clear" w:fill="FFFFFF"/>
        </w:rPr>
        <w:t>交易中心</w:t>
      </w:r>
      <w:r>
        <w:rPr>
          <w:rFonts w:hint="eastAsia" w:ascii="宋体" w:hAnsi="宋体" w:cs="宋体"/>
          <w:color w:val="333333"/>
          <w:spacing w:val="15"/>
          <w:sz w:val="24"/>
          <w:szCs w:val="24"/>
          <w:shd w:val="clear" w:fill="FFFFFF"/>
          <w:lang w:val="en-US" w:eastAsia="zh-CN"/>
        </w:rPr>
        <w:t>2020</w:t>
      </w:r>
      <w:r>
        <w:rPr>
          <w:rFonts w:hint="eastAsia" w:ascii="宋体" w:hAnsi="宋体" w:eastAsia="宋体" w:cs="宋体"/>
          <w:color w:val="333333"/>
          <w:spacing w:val="15"/>
          <w:sz w:val="24"/>
          <w:szCs w:val="24"/>
          <w:shd w:val="clear" w:fill="FFFFFF"/>
        </w:rPr>
        <w:t>年</w:t>
      </w:r>
      <w:r>
        <w:rPr>
          <w:rFonts w:hint="eastAsia" w:ascii="宋体" w:hAnsi="宋体" w:cs="宋体"/>
          <w:color w:val="333333"/>
          <w:spacing w:val="15"/>
          <w:sz w:val="24"/>
          <w:szCs w:val="24"/>
          <w:shd w:val="clear" w:fill="FFFFFF"/>
          <w:lang w:val="en-US" w:eastAsia="zh-CN"/>
        </w:rPr>
        <w:t>5</w:t>
      </w:r>
      <w:r>
        <w:rPr>
          <w:rFonts w:hint="eastAsia" w:ascii="宋体" w:hAnsi="宋体" w:eastAsia="宋体" w:cs="宋体"/>
          <w:color w:val="333333"/>
          <w:spacing w:val="15"/>
          <w:sz w:val="24"/>
          <w:szCs w:val="24"/>
          <w:shd w:val="clear" w:fill="FFFFFF"/>
        </w:rPr>
        <w:t>月</w:t>
      </w:r>
      <w:r>
        <w:rPr>
          <w:rFonts w:hint="eastAsia" w:ascii="宋体" w:hAnsi="宋体" w:cs="宋体"/>
          <w:color w:val="333333"/>
          <w:spacing w:val="15"/>
          <w:sz w:val="24"/>
          <w:szCs w:val="24"/>
          <w:shd w:val="clear" w:fill="FFFFFF"/>
          <w:lang w:val="en-US" w:eastAsia="zh-CN"/>
        </w:rPr>
        <w:t>25</w:t>
      </w:r>
      <w:r>
        <w:rPr>
          <w:rFonts w:hint="eastAsia" w:ascii="宋体" w:hAnsi="宋体" w:eastAsia="宋体" w:cs="宋体"/>
          <w:color w:val="333333"/>
          <w:spacing w:val="15"/>
          <w:sz w:val="24"/>
          <w:szCs w:val="24"/>
          <w:shd w:val="clear" w:fill="FFFFFF"/>
        </w:rPr>
        <w:t>日发布的“睢县公共资源交易中心实行全流程电子化招投标的说明”中的《</w:t>
      </w:r>
      <w:r>
        <w:rPr>
          <w:rFonts w:hint="eastAsia"/>
        </w:rPr>
        <w:t>不见面开标流程流程操作手册</w:t>
      </w:r>
      <w:r>
        <w:rPr>
          <w:rFonts w:hint="eastAsia" w:ascii="宋体" w:hAnsi="宋体" w:eastAsia="宋体" w:cs="宋体"/>
          <w:color w:val="333333"/>
          <w:spacing w:val="15"/>
          <w:sz w:val="24"/>
          <w:szCs w:val="24"/>
          <w:shd w:val="clear" w:fill="FFFFFF"/>
        </w:rPr>
        <w:t>20</w:t>
      </w:r>
      <w:r>
        <w:rPr>
          <w:rFonts w:hint="eastAsia" w:ascii="宋体" w:hAnsi="宋体" w:cs="宋体"/>
          <w:color w:val="333333"/>
          <w:spacing w:val="15"/>
          <w:sz w:val="24"/>
          <w:szCs w:val="24"/>
          <w:shd w:val="clear" w:fill="FFFFFF"/>
          <w:lang w:val="en-US" w:eastAsia="zh-CN"/>
        </w:rPr>
        <w:t>20</w:t>
      </w:r>
      <w:r>
        <w:rPr>
          <w:rFonts w:hint="eastAsia" w:ascii="宋体" w:hAnsi="宋体" w:eastAsia="宋体" w:cs="宋体"/>
          <w:color w:val="333333"/>
          <w:spacing w:val="15"/>
          <w:sz w:val="24"/>
          <w:szCs w:val="24"/>
          <w:shd w:val="clear" w:fill="FFFFFF"/>
        </w:rPr>
        <w:t>-</w:t>
      </w:r>
      <w:r>
        <w:rPr>
          <w:rFonts w:hint="eastAsia" w:ascii="宋体" w:hAnsi="宋体" w:cs="宋体"/>
          <w:color w:val="333333"/>
          <w:spacing w:val="15"/>
          <w:sz w:val="24"/>
          <w:szCs w:val="24"/>
          <w:shd w:val="clear" w:fill="FFFFFF"/>
          <w:lang w:val="en-US" w:eastAsia="zh-CN"/>
        </w:rPr>
        <w:t>03</w:t>
      </w:r>
      <w:r>
        <w:rPr>
          <w:rFonts w:hint="eastAsia" w:ascii="宋体" w:hAnsi="宋体" w:eastAsia="宋体" w:cs="宋体"/>
          <w:color w:val="333333"/>
          <w:spacing w:val="15"/>
          <w:sz w:val="24"/>
          <w:szCs w:val="24"/>
          <w:shd w:val="clear" w:fill="FFFFFF"/>
        </w:rPr>
        <w:t>-</w:t>
      </w:r>
      <w:r>
        <w:rPr>
          <w:rFonts w:hint="eastAsia" w:ascii="宋体" w:hAnsi="宋体" w:cs="宋体"/>
          <w:color w:val="333333"/>
          <w:spacing w:val="15"/>
          <w:sz w:val="24"/>
          <w:szCs w:val="24"/>
          <w:shd w:val="clear" w:fill="FFFFFF"/>
          <w:lang w:val="en-US" w:eastAsia="zh-CN"/>
        </w:rPr>
        <w:t>24</w:t>
      </w:r>
      <w:r>
        <w:rPr>
          <w:rFonts w:hint="eastAsia" w:ascii="宋体" w:hAnsi="宋体" w:eastAsia="宋体" w:cs="宋体"/>
          <w:color w:val="333333"/>
          <w:spacing w:val="15"/>
          <w:sz w:val="24"/>
          <w:szCs w:val="24"/>
          <w:shd w:val="clear" w:fill="FFFFFF"/>
        </w:rPr>
        <w:t>版本》，按照采购文件要求，评标时，所有评审事项，均以电子投标文件为准。投标人不再提供原件等证明材料。</w:t>
      </w:r>
    </w:p>
    <w:p>
      <w:pPr>
        <w:pStyle w:val="26"/>
        <w:widowControl/>
        <w:spacing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shd w:val="clear" w:color="auto" w:fill="FFFFFF"/>
        </w:rPr>
        <w:t>特别提醒：</w:t>
      </w:r>
    </w:p>
    <w:p>
      <w:pPr>
        <w:spacing w:line="360" w:lineRule="auto"/>
        <w:ind w:firstLine="480" w:firstLineChars="200"/>
        <w:rPr>
          <w:rFonts w:hint="eastAsia" w:asciiTheme="minorEastAsia" w:hAnsiTheme="minorEastAsia" w:eastAsiaTheme="minorEastAsia" w:cstheme="minorEastAsia"/>
        </w:rPr>
      </w:pPr>
      <w:bookmarkStart w:id="6" w:name="_Toc19765"/>
      <w:r>
        <w:rPr>
          <w:rFonts w:hint="eastAsia" w:asciiTheme="minorEastAsia" w:hAnsiTheme="minorEastAsia" w:eastAsiaTheme="minorEastAsia" w:cstheme="minorEastAsia"/>
        </w:rPr>
        <w:t>未在睢县公共资源交易中心网站注册的投标人、竞买人、供应商等市场主体，请自行注册、自助绑定数字证书（河南省内数字证书互联互通）。</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投标人报名操作说明书请在睢县公共资源交易中心网站资料下载处下载。</w:t>
      </w:r>
    </w:p>
    <w:p>
      <w:pPr>
        <w:spacing w:line="360" w:lineRule="auto"/>
        <w:rPr>
          <w:b/>
          <w:bCs/>
        </w:rPr>
      </w:pPr>
      <w:r>
        <w:rPr>
          <w:rFonts w:hint="eastAsia"/>
          <w:b/>
          <w:bCs/>
        </w:rPr>
        <w:t>四、响应文件的递交及开标时间、地点</w:t>
      </w:r>
      <w:bookmarkEnd w:id="6"/>
    </w:p>
    <w:p>
      <w:pPr>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4.1本项目为全流程电子化交易项目。供应商须要注册会员、网上报名、下载</w:t>
      </w:r>
      <w:r>
        <w:rPr>
          <w:rFonts w:hint="eastAsia" w:asciiTheme="minorEastAsia" w:hAnsiTheme="minorEastAsia" w:cstheme="minorEastAsia"/>
        </w:rPr>
        <w:t>采购</w:t>
      </w:r>
      <w:r>
        <w:rPr>
          <w:rFonts w:hint="eastAsia" w:asciiTheme="minorEastAsia" w:hAnsiTheme="minorEastAsia" w:eastAsiaTheme="minorEastAsia" w:cstheme="minorEastAsia"/>
        </w:rPr>
        <w:t>文件制作并上传电子投标文件等，开标当天按照</w:t>
      </w:r>
      <w:r>
        <w:rPr>
          <w:rFonts w:hint="eastAsia" w:asciiTheme="minorEastAsia" w:hAnsiTheme="minorEastAsia" w:cstheme="minorEastAsia"/>
        </w:rPr>
        <w:t>采购</w:t>
      </w:r>
      <w:r>
        <w:rPr>
          <w:rFonts w:hint="eastAsia" w:asciiTheme="minorEastAsia" w:hAnsiTheme="minorEastAsia" w:eastAsiaTheme="minorEastAsia" w:cstheme="minorEastAsia"/>
        </w:rPr>
        <w:t>公告和</w:t>
      </w:r>
      <w:r>
        <w:rPr>
          <w:rFonts w:hint="eastAsia" w:asciiTheme="minorEastAsia" w:hAnsiTheme="minorEastAsia" w:eastAsiaTheme="minorEastAsia" w:cstheme="minorEastAsia"/>
          <w:lang w:eastAsia="zh-CN"/>
        </w:rPr>
        <w:t>采购</w:t>
      </w:r>
      <w:r>
        <w:rPr>
          <w:rFonts w:hint="eastAsia" w:asciiTheme="minorEastAsia" w:hAnsiTheme="minorEastAsia" w:eastAsiaTheme="minorEastAsia" w:cstheme="minorEastAsia"/>
        </w:rPr>
        <w:t>文件的要求进行投标。投标人电子投标文件制作系统、</w:t>
      </w:r>
      <w:r>
        <w:rPr>
          <w:rFonts w:hint="eastAsia" w:asciiTheme="minorEastAsia" w:hAnsiTheme="minorEastAsia" w:eastAsiaTheme="minorEastAsia" w:cstheme="minorEastAsia"/>
          <w:lang w:val="en-US"/>
        </w:rPr>
        <w:t>CA</w:t>
      </w:r>
      <w:r>
        <w:rPr>
          <w:rFonts w:hint="eastAsia" w:asciiTheme="minorEastAsia" w:hAnsiTheme="minorEastAsia" w:eastAsiaTheme="minorEastAsia" w:cstheme="minorEastAsia"/>
        </w:rPr>
        <w:t>签章工具需投标人自行登陆</w:t>
      </w:r>
      <w:r>
        <w:rPr>
          <w:rFonts w:hint="eastAsia" w:asciiTheme="minorEastAsia" w:hAnsiTheme="minorEastAsia" w:eastAsiaTheme="minorEastAsia" w:cstheme="minorEastAsia"/>
          <w:lang w:eastAsia="zh-CN"/>
        </w:rPr>
        <w:t>睢县</w:t>
      </w:r>
      <w:r>
        <w:rPr>
          <w:rFonts w:hint="eastAsia" w:asciiTheme="minorEastAsia" w:hAnsiTheme="minorEastAsia" w:eastAsiaTheme="minorEastAsia" w:cstheme="minorEastAsia"/>
        </w:rPr>
        <w:t>公共资源交易平台系统</w:t>
      </w:r>
      <w:r>
        <w:rPr>
          <w:rFonts w:hint="eastAsia" w:asciiTheme="minorEastAsia" w:hAnsiTheme="minorEastAsia" w:eastAsiaTheme="minorEastAsia" w:cstheme="minorEastAsia"/>
          <w:lang w:val="en-US"/>
        </w:rPr>
        <w:t>-</w:t>
      </w:r>
      <w:r>
        <w:rPr>
          <w:rFonts w:hint="eastAsia" w:asciiTheme="minorEastAsia" w:hAnsiTheme="minorEastAsia" w:eastAsiaTheme="minorEastAsia" w:cstheme="minorEastAsia"/>
        </w:rPr>
        <w:t>组件下载进行下载安装。</w:t>
      </w:r>
    </w:p>
    <w:p>
      <w:pPr>
        <w:spacing w:line="360" w:lineRule="auto"/>
        <w:ind w:firstLine="48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4.2</w:t>
      </w:r>
      <w:r>
        <w:rPr>
          <w:rFonts w:hint="eastAsia" w:asciiTheme="minorEastAsia" w:hAnsiTheme="minorEastAsia" w:eastAsiaTheme="minorEastAsia" w:cstheme="minorEastAsia"/>
          <w:lang w:val="en-US" w:eastAsia="zh-CN"/>
        </w:rPr>
        <w:t>、开标时间及投标文件接收截止时间</w:t>
      </w:r>
      <w:r>
        <w:rPr>
          <w:rFonts w:hint="eastAsia" w:asciiTheme="minorEastAsia" w:hAnsiTheme="minorEastAsia" w:eastAsiaTheme="minorEastAsia" w:cstheme="minorEastAsia"/>
        </w:rPr>
        <w:t>为：</w:t>
      </w:r>
      <w:r>
        <w:rPr>
          <w:rFonts w:hint="eastAsia" w:asciiTheme="minorEastAsia" w:hAnsiTheme="minorEastAsia" w:eastAsiaTheme="minorEastAsia" w:cstheme="minorEastAsia"/>
          <w:lang w:val="en-US" w:eastAsia="zh-CN"/>
        </w:rPr>
        <w:t xml:space="preserve"> 2022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 11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 16</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09</w:t>
      </w:r>
      <w:r>
        <w:rPr>
          <w:rFonts w:hint="eastAsia" w:asciiTheme="minorEastAsia" w:hAnsiTheme="minorEastAsia" w:eastAsiaTheme="minorEastAsia" w:cstheme="minorEastAsia"/>
        </w:rPr>
        <w:t>时00分</w:t>
      </w:r>
      <w:r>
        <w:rPr>
          <w:rFonts w:hint="eastAsia" w:asciiTheme="minorEastAsia" w:hAnsiTheme="minorEastAsia" w:eastAsiaTheme="minorEastAsia" w:cstheme="minorEastAsia"/>
          <w:lang w:eastAsia="zh-CN"/>
        </w:rPr>
        <w:t>。</w:t>
      </w:r>
    </w:p>
    <w:p>
      <w:pPr>
        <w:bidi w:val="0"/>
        <w:spacing w:line="360" w:lineRule="auto"/>
        <w:ind w:firstLine="480" w:firstLineChars="200"/>
        <w:rPr>
          <w:rFonts w:hint="eastAsia"/>
          <w:lang w:val="en-US" w:eastAsia="zh-CN"/>
        </w:rPr>
      </w:pPr>
      <w:r>
        <w:rPr>
          <w:rFonts w:hint="eastAsia" w:asciiTheme="minorEastAsia" w:hAnsiTheme="minorEastAsia" w:eastAsiaTheme="minorEastAsia" w:cstheme="minorEastAsia"/>
          <w:lang w:val="en-US" w:eastAsia="zh-CN"/>
        </w:rPr>
        <w:t>4.</w:t>
      </w:r>
      <w:bookmarkStart w:id="7" w:name="_Toc28359016"/>
      <w:r>
        <w:rPr>
          <w:rFonts w:hint="eastAsia" w:asciiTheme="minorEastAsia" w:hAnsiTheme="minorEastAsia" w:eastAsiaTheme="minorEastAsia" w:cstheme="minorEastAsia"/>
          <w:lang w:val="en-US" w:eastAsia="zh-CN"/>
        </w:rPr>
        <w:t>3地点：睢县公共资源交易中心二楼</w:t>
      </w:r>
      <w:r>
        <w:rPr>
          <w:rFonts w:hint="eastAsia"/>
          <w:lang w:val="en-US" w:eastAsia="zh-CN"/>
        </w:rPr>
        <w:t>。</w:t>
      </w:r>
      <w:bookmarkEnd w:id="7"/>
    </w:p>
    <w:p>
      <w:pPr>
        <w:pStyle w:val="26"/>
        <w:keepNext w:val="0"/>
        <w:keepLines w:val="0"/>
        <w:widowControl/>
        <w:suppressLineNumbers w:val="0"/>
        <w:spacing w:before="0" w:beforeAutospacing="0" w:after="0" w:afterAutospacing="0" w:line="360" w:lineRule="auto"/>
        <w:ind w:right="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kern w:val="2"/>
          <w:sz w:val="24"/>
          <w:szCs w:val="24"/>
          <w:lang w:val="en-US" w:eastAsia="zh-CN" w:bidi="ar-SA"/>
        </w:rPr>
        <w:t>加密电子投标文件须在投标截止时间（开标时间）前通过《全国公共资源交易平台（河南省▪睢县）》公共资源交易系统成功上传。</w:t>
      </w:r>
      <w:r>
        <w:rPr>
          <w:rFonts w:hint="eastAsia" w:ascii="宋体" w:hAnsi="宋体" w:eastAsia="宋体" w:cs="宋体"/>
          <w:color w:val="333333"/>
          <w:sz w:val="24"/>
          <w:szCs w:val="24"/>
          <w:shd w:val="clear" w:fill="FFFFFF"/>
        </w:rPr>
        <w:t>电子</w:t>
      </w:r>
      <w:r>
        <w:rPr>
          <w:rFonts w:hint="eastAsia" w:ascii="宋体" w:hAnsi="宋体" w:cs="宋体"/>
          <w:color w:val="333333"/>
          <w:sz w:val="24"/>
          <w:szCs w:val="24"/>
          <w:shd w:val="clear" w:fill="FFFFFF"/>
          <w:lang w:eastAsia="zh-CN"/>
        </w:rPr>
        <w:t>投标</w:t>
      </w:r>
      <w:r>
        <w:rPr>
          <w:rFonts w:hint="eastAsia" w:ascii="宋体" w:hAnsi="宋体" w:eastAsia="宋体" w:cs="宋体"/>
          <w:color w:val="333333"/>
          <w:sz w:val="24"/>
          <w:szCs w:val="24"/>
          <w:shd w:val="clear" w:fill="FFFFFF"/>
        </w:rPr>
        <w:t>文件逾期上传或没有上传的，采购人将拒绝接收</w:t>
      </w:r>
      <w:r>
        <w:rPr>
          <w:rFonts w:hint="eastAsia" w:asciiTheme="minorEastAsia" w:hAnsiTheme="minorEastAsia" w:eastAsiaTheme="minorEastAsia" w:cstheme="minorEastAsia"/>
        </w:rPr>
        <w:t>。</w:t>
      </w:r>
    </w:p>
    <w:p>
      <w:pPr>
        <w:spacing w:line="360" w:lineRule="auto"/>
        <w:ind w:firstLine="480" w:firstLineChars="200"/>
        <w:rPr>
          <w:rFonts w:hint="eastAsia" w:asciiTheme="minorEastAsia" w:hAnsiTheme="minorEastAsia" w:eastAsiaTheme="minorEastAsia" w:cstheme="minorEastAsia"/>
        </w:rPr>
      </w:pPr>
      <w:bookmarkStart w:id="85" w:name="_GoBack"/>
      <w:r>
        <w:rPr>
          <w:rFonts w:hint="eastAsia" w:asciiTheme="minorEastAsia" w:hAnsiTheme="minorEastAsia" w:eastAsiaTheme="minorEastAsia" w:cstheme="minorEastAsia"/>
          <w:lang w:val="en-US" w:eastAsia="zh-CN"/>
        </w:rPr>
        <w:t>注：本招标项目为不见面开评标，投标人不需要再到现场，操作说明及注意事项请在睢县公共资源交易平台“通知公告-关于不见面开标</w:t>
      </w:r>
      <w:r>
        <w:rPr>
          <w:rFonts w:hint="eastAsia"/>
        </w:rPr>
        <w:t>流程操作手册</w:t>
      </w:r>
      <w:r>
        <w:rPr>
          <w:rFonts w:hint="eastAsia" w:asciiTheme="minorEastAsia" w:hAnsiTheme="minorEastAsia" w:eastAsiaTheme="minorEastAsia" w:cstheme="minorEastAsia"/>
          <w:lang w:val="en-US" w:eastAsia="zh-CN"/>
        </w:rPr>
        <w:t>”下载。</w:t>
      </w:r>
    </w:p>
    <w:bookmarkEnd w:id="85"/>
    <w:p>
      <w:pPr>
        <w:numPr>
          <w:ilvl w:val="0"/>
          <w:numId w:val="2"/>
        </w:numPr>
        <w:spacing w:line="360" w:lineRule="auto"/>
        <w:rPr>
          <w:b/>
          <w:bCs/>
        </w:rPr>
      </w:pPr>
      <w:r>
        <w:rPr>
          <w:rFonts w:hint="eastAsia"/>
          <w:b/>
          <w:bCs/>
        </w:rPr>
        <w:t>采购公告发布的媒介：</w:t>
      </w:r>
    </w:p>
    <w:p>
      <w:pPr>
        <w:pStyle w:val="27"/>
        <w:spacing w:line="360" w:lineRule="auto"/>
        <w:ind w:firstLine="480" w:firstLineChars="200"/>
        <w:rPr>
          <w:rFonts w:eastAsiaTheme="minorEastAsia"/>
        </w:rPr>
      </w:pPr>
      <w:r>
        <w:rPr>
          <w:rFonts w:hint="eastAsia"/>
          <w:sz w:val="24"/>
          <w:szCs w:val="24"/>
        </w:rPr>
        <w:t>本项目招标公告在《河南省政府采购网》、《商丘市政府采购网》《睢县公共资源交易中心网》上公布。</w:t>
      </w:r>
    </w:p>
    <w:p>
      <w:pPr>
        <w:spacing w:line="360" w:lineRule="auto"/>
        <w:rPr>
          <w:b/>
          <w:bCs/>
        </w:rPr>
      </w:pPr>
      <w:bookmarkStart w:id="8" w:name="_Toc6887"/>
      <w:r>
        <w:rPr>
          <w:rFonts w:hint="eastAsia"/>
          <w:b/>
          <w:bCs/>
          <w:lang w:eastAsia="zh-CN"/>
        </w:rPr>
        <w:t>六</w:t>
      </w:r>
      <w:r>
        <w:rPr>
          <w:rFonts w:hint="eastAsia"/>
          <w:b/>
          <w:bCs/>
        </w:rPr>
        <w:t>、联系方式：</w:t>
      </w:r>
      <w:bookmarkEnd w:id="8"/>
    </w:p>
    <w:p>
      <w:pPr>
        <w:spacing w:line="360" w:lineRule="auto"/>
        <w:rPr>
          <w:rFonts w:asciiTheme="minorEastAsia" w:hAnsiTheme="minorEastAsia" w:eastAsiaTheme="minorEastAsia" w:cstheme="minorEastAsia"/>
        </w:rPr>
      </w:pPr>
      <w:r>
        <w:rPr>
          <w:rFonts w:hint="eastAsia" w:asciiTheme="minorEastAsia" w:hAnsiTheme="minorEastAsia" w:cstheme="minorEastAsia"/>
        </w:rPr>
        <w:t>1、</w:t>
      </w:r>
      <w:r>
        <w:rPr>
          <w:rFonts w:hint="eastAsia" w:asciiTheme="minorEastAsia" w:hAnsiTheme="minorEastAsia" w:eastAsiaTheme="minorEastAsia" w:cstheme="minorEastAsia"/>
        </w:rPr>
        <w:t xml:space="preserve">采 购 人：睢县教育体育局 </w:t>
      </w:r>
    </w:p>
    <w:p>
      <w:pPr>
        <w:spacing w:line="360" w:lineRule="auto"/>
        <w:ind w:firstLine="24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地</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址：睢县凤城大道南</w:t>
      </w:r>
    </w:p>
    <w:p>
      <w:pPr>
        <w:spacing w:line="360" w:lineRule="auto"/>
        <w:ind w:firstLine="240" w:firstLineChars="100"/>
        <w:rPr>
          <w:rFonts w:hint="eastAsia" w:eastAsia="宋体" w:asciiTheme="minorEastAsia" w:hAnsiTheme="minorEastAsia" w:cstheme="minorEastAsia"/>
          <w:lang w:val="en-US" w:eastAsia="zh-CN"/>
        </w:rPr>
      </w:pPr>
      <w:r>
        <w:rPr>
          <w:rFonts w:hint="eastAsia" w:asciiTheme="minorEastAsia" w:hAnsiTheme="minorEastAsia" w:eastAsiaTheme="minorEastAsia" w:cstheme="minorEastAsia"/>
        </w:rPr>
        <w:t>联 系 人：</w:t>
      </w:r>
      <w:r>
        <w:rPr>
          <w:rFonts w:hint="eastAsia" w:asciiTheme="minorEastAsia" w:hAnsiTheme="minorEastAsia" w:eastAsiaTheme="minorEastAsia" w:cstheme="minorEastAsia"/>
          <w:lang w:eastAsia="zh-CN"/>
        </w:rPr>
        <w:t>林</w:t>
      </w:r>
      <w:r>
        <w:rPr>
          <w:rFonts w:hint="eastAsia" w:asciiTheme="minorEastAsia" w:hAnsiTheme="minorEastAsia" w:cstheme="minorEastAsia"/>
        </w:rPr>
        <w:t>先生</w:t>
      </w:r>
    </w:p>
    <w:p>
      <w:pPr>
        <w:spacing w:line="360" w:lineRule="auto"/>
        <w:ind w:firstLine="240" w:firstLineChars="100"/>
        <w:rPr>
          <w:rFonts w:hint="default" w:eastAsiaTheme="minorEastAsia"/>
          <w:lang w:val="en-US" w:eastAsia="zh-CN"/>
        </w:rPr>
      </w:pPr>
      <w:r>
        <w:rPr>
          <w:rFonts w:hint="eastAsia" w:asciiTheme="minorEastAsia" w:hAnsiTheme="minorEastAsia" w:eastAsiaTheme="minorEastAsia" w:cstheme="minorEastAsia"/>
        </w:rPr>
        <w:t>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话：</w:t>
      </w:r>
      <w:r>
        <w:rPr>
          <w:rFonts w:hint="eastAsia" w:asciiTheme="minorEastAsia" w:hAnsiTheme="minorEastAsia" w:eastAsiaTheme="minorEastAsia" w:cstheme="minorEastAsia"/>
          <w:lang w:val="en-US" w:eastAsia="zh-CN"/>
        </w:rPr>
        <w:t>0370-8186576</w:t>
      </w:r>
    </w:p>
    <w:p>
      <w:pPr>
        <w:pStyle w:val="11"/>
        <w:spacing w:before="140" w:line="360" w:lineRule="auto"/>
        <w:ind w:lef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2、采购代理机构：</w:t>
      </w:r>
      <w:r>
        <w:rPr>
          <w:rFonts w:hint="eastAsia" w:asciiTheme="minorEastAsia" w:hAnsiTheme="minorEastAsia" w:eastAsiaTheme="minorEastAsia" w:cstheme="minorEastAsia"/>
          <w:sz w:val="24"/>
          <w:szCs w:val="24"/>
          <w:lang w:eastAsia="zh-CN"/>
        </w:rPr>
        <w:t>亿鑫工程咨询有限公司</w:t>
      </w:r>
    </w:p>
    <w:p>
      <w:pPr>
        <w:pStyle w:val="11"/>
        <w:spacing w:before="140"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地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址：商丘市睢阳区神火大道与珠江路交叉口西南角联合大厦九楼</w:t>
      </w:r>
    </w:p>
    <w:p>
      <w:pPr>
        <w:pStyle w:val="11"/>
        <w:spacing w:before="140" w:line="360" w:lineRule="auto"/>
        <w:ind w:firstLine="240" w:firstLineChars="1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 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lang w:eastAsia="zh-CN"/>
        </w:rPr>
        <w:t>吴女士</w:t>
      </w:r>
    </w:p>
    <w:p>
      <w:pPr>
        <w:pStyle w:val="11"/>
        <w:spacing w:before="140" w:line="360" w:lineRule="auto"/>
        <w:ind w:firstLine="240" w:firstLineChars="1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0370-2130008</w:t>
      </w:r>
    </w:p>
    <w:p>
      <w:pPr>
        <w:spacing w:line="360" w:lineRule="auto"/>
        <w:rPr>
          <w:rFonts w:asciiTheme="minorEastAsia" w:hAnsiTheme="minorEastAsia" w:eastAsiaTheme="minorEastAsia" w:cstheme="minorEastAsia"/>
          <w:spacing w:val="-15"/>
        </w:rPr>
      </w:pPr>
      <w:r>
        <w:rPr>
          <w:rFonts w:hint="eastAsia" w:asciiTheme="minorEastAsia" w:hAnsiTheme="minorEastAsia" w:cstheme="minorEastAsia"/>
        </w:rPr>
        <w:t>3、</w:t>
      </w:r>
      <w:r>
        <w:rPr>
          <w:rFonts w:hint="eastAsia" w:asciiTheme="minorEastAsia" w:hAnsiTheme="minorEastAsia" w:eastAsiaTheme="minorEastAsia" w:cstheme="minorEastAsia"/>
        </w:rPr>
        <w:t>监督单位：</w:t>
      </w:r>
      <w:r>
        <w:rPr>
          <w:rFonts w:hint="eastAsia" w:ascii="宋体" w:hAnsi="宋体" w:cs="宋体"/>
          <w:color w:val="000000"/>
          <w:shd w:val="clear" w:color="auto" w:fill="FFFFFF"/>
        </w:rPr>
        <w:t>睢县人民政府采购管理办公室</w:t>
      </w:r>
    </w:p>
    <w:p>
      <w:pPr>
        <w:pStyle w:val="11"/>
        <w:tabs>
          <w:tab w:val="left" w:pos="1305"/>
        </w:tabs>
        <w:spacing w:before="111" w:line="360" w:lineRule="auto"/>
        <w:ind w:right="3923" w:firstLine="240" w:firstLineChars="100"/>
        <w:jc w:val="left"/>
        <w:rPr>
          <w:rFonts w:cs="宋体"/>
          <w:color w:val="000000"/>
          <w:sz w:val="24"/>
          <w:szCs w:val="24"/>
          <w:shd w:val="clear" w:color="auto" w:fill="FFFFFF"/>
        </w:rPr>
      </w:pPr>
      <w:r>
        <w:rPr>
          <w:rFonts w:hint="eastAsia" w:asciiTheme="minorEastAsia" w:hAnsiTheme="minorEastAsia" w:eastAsiaTheme="minorEastAsia" w:cstheme="minorEastAsia"/>
          <w:sz w:val="24"/>
          <w:szCs w:val="24"/>
        </w:rPr>
        <w:t>联 系人：</w:t>
      </w:r>
      <w:r>
        <w:rPr>
          <w:rFonts w:hint="eastAsia" w:cs="宋体"/>
          <w:color w:val="000000"/>
          <w:sz w:val="24"/>
          <w:szCs w:val="24"/>
          <w:shd w:val="clear" w:color="auto" w:fill="FFFFFF"/>
        </w:rPr>
        <w:t>0370-6022957</w:t>
      </w:r>
    </w:p>
    <w:p>
      <w:pPr>
        <w:spacing w:line="360" w:lineRule="auto"/>
        <w:ind w:firstLine="5760" w:firstLineChars="2400"/>
        <w:rPr>
          <w:rFonts w:asciiTheme="minorEastAsia" w:hAnsiTheme="minorEastAsia" w:eastAsiaTheme="minorEastAsia" w:cstheme="minorEastAsia"/>
        </w:rPr>
      </w:pPr>
    </w:p>
    <w:p>
      <w:pPr>
        <w:spacing w:line="360" w:lineRule="auto"/>
        <w:ind w:firstLine="5760" w:firstLineChars="2400"/>
        <w:rPr>
          <w:rFonts w:asciiTheme="minorEastAsia" w:hAnsiTheme="minorEastAsia" w:eastAsiaTheme="minorEastAsia" w:cstheme="minorEastAsia"/>
        </w:rPr>
      </w:pPr>
      <w:r>
        <w:rPr>
          <w:rFonts w:hint="eastAsia"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 xml:space="preserve">10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 xml:space="preserve">25 </w:t>
      </w:r>
      <w:r>
        <w:rPr>
          <w:rFonts w:hint="eastAsia" w:asciiTheme="minorEastAsia" w:hAnsiTheme="minorEastAsia" w:eastAsiaTheme="minorEastAsia" w:cstheme="minorEastAsia"/>
        </w:rPr>
        <w:t>日</w:t>
      </w:r>
    </w:p>
    <w:p>
      <w:pPr>
        <w:spacing w:line="360" w:lineRule="auto"/>
        <w:jc w:val="right"/>
        <w:sectPr>
          <w:headerReference r:id="rId3" w:type="default"/>
          <w:footerReference r:id="rId4" w:type="default"/>
          <w:pgSz w:w="11680" w:h="16560"/>
          <w:pgMar w:top="1440" w:right="1800" w:bottom="1440" w:left="1800" w:header="0" w:footer="839" w:gutter="0"/>
          <w:pgNumType w:start="1"/>
          <w:cols w:space="720" w:num="1"/>
        </w:sectPr>
      </w:pPr>
    </w:p>
    <w:p>
      <w:pPr>
        <w:pStyle w:val="3"/>
        <w:numPr>
          <w:ilvl w:val="0"/>
          <w:numId w:val="1"/>
        </w:numPr>
        <w:spacing w:line="240" w:lineRule="auto"/>
        <w:ind w:left="0" w:leftChars="0" w:firstLine="0" w:firstLineChars="0"/>
        <w:jc w:val="center"/>
      </w:pPr>
      <w:bookmarkStart w:id="9" w:name="_Toc13158"/>
      <w:bookmarkStart w:id="10" w:name="_Toc26822"/>
      <w:bookmarkStart w:id="11" w:name="_TOC_250003"/>
      <w:r>
        <w:rPr>
          <w:rFonts w:hint="eastAsia"/>
        </w:rPr>
        <w:t>供应商</w:t>
      </w:r>
      <w:r>
        <w:t>须知</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bookmarkStart w:id="12" w:name="_Toc13329"/>
      <w:r>
        <w:rPr>
          <w:rFonts w:hint="eastAsia" w:ascii="宋体" w:hAnsi="宋体" w:eastAsia="宋体" w:cs="宋体"/>
          <w:sz w:val="24"/>
          <w:szCs w:val="24"/>
        </w:rPr>
        <w:t>（供应商须知前附表</w:t>
      </w:r>
      <w:bookmarkEnd w:id="12"/>
      <w:r>
        <w:rPr>
          <w:rFonts w:hint="eastAsia" w:ascii="宋体" w:hAnsi="宋体" w:eastAsia="宋体" w:cs="宋体"/>
          <w:sz w:val="24"/>
          <w:szCs w:val="24"/>
        </w:rPr>
        <w:t>）</w:t>
      </w:r>
    </w:p>
    <w:tbl>
      <w:tblPr>
        <w:tblStyle w:val="28"/>
        <w:tblpPr w:leftFromText="180" w:rightFromText="180" w:vertAnchor="text" w:horzAnchor="page" w:tblpX="1046" w:tblpY="610"/>
        <w:tblOverlap w:val="never"/>
        <w:tblW w:w="9663" w:type="dxa"/>
        <w:tblInd w:w="0" w:type="dxa"/>
        <w:tblLayout w:type="fixed"/>
        <w:tblCellMar>
          <w:top w:w="0" w:type="dxa"/>
          <w:left w:w="0" w:type="dxa"/>
          <w:bottom w:w="0" w:type="dxa"/>
          <w:right w:w="0" w:type="dxa"/>
        </w:tblCellMar>
      </w:tblPr>
      <w:tblGrid>
        <w:gridCol w:w="534"/>
        <w:gridCol w:w="1911"/>
        <w:gridCol w:w="7218"/>
      </w:tblGrid>
      <w:tr>
        <w:tblPrEx>
          <w:tblCellMar>
            <w:top w:w="0" w:type="dxa"/>
            <w:left w:w="0" w:type="dxa"/>
            <w:bottom w:w="0" w:type="dxa"/>
            <w:right w:w="0" w:type="dxa"/>
          </w:tblCellMar>
        </w:tblPrEx>
        <w:trPr>
          <w:trHeight w:val="638"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keepNext w:val="0"/>
              <w:keepLines w:val="0"/>
              <w:pageBreakBefore w:val="0"/>
              <w:widowControl w:val="0"/>
              <w:kinsoku/>
              <w:wordWrap/>
              <w:overflowPunct/>
              <w:topLinePunct w:val="0"/>
              <w:autoSpaceDE/>
              <w:autoSpaceDN/>
              <w:bidi w:val="0"/>
              <w:adjustRightInd/>
              <w:snapToGrid/>
              <w:spacing w:before="99" w:line="240" w:lineRule="auto"/>
              <w:jc w:val="center"/>
              <w:textAlignment w:val="auto"/>
              <w:rPr>
                <w:rFonts w:hint="eastAsia" w:ascii="宋体" w:hAnsi="宋体" w:eastAsia="宋体" w:cs="宋体"/>
                <w:sz w:val="24"/>
                <w:szCs w:val="24"/>
              </w:rPr>
            </w:pPr>
            <w:bookmarkStart w:id="13" w:name="_Toc14883"/>
            <w:r>
              <w:rPr>
                <w:rFonts w:hint="eastAsia" w:ascii="宋体" w:hAnsi="宋体" w:eastAsia="宋体" w:cs="宋体"/>
                <w:b/>
                <w:bCs/>
                <w:spacing w:val="6"/>
                <w:sz w:val="24"/>
                <w:szCs w:val="24"/>
              </w:rPr>
              <w:t>序号</w:t>
            </w:r>
          </w:p>
        </w:tc>
        <w:tc>
          <w:tcPr>
            <w:tcW w:w="1911"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条款名称</w:t>
            </w:r>
          </w:p>
        </w:tc>
        <w:tc>
          <w:tcPr>
            <w:tcW w:w="7218" w:type="dxa"/>
            <w:tcBorders>
              <w:top w:val="single" w:color="000000" w:sz="2" w:space="0"/>
              <w:left w:val="single" w:color="000000" w:sz="2" w:space="0"/>
              <w:bottom w:val="single" w:color="000000" w:sz="2" w:space="0"/>
              <w:right w:val="single" w:color="000000" w:sz="2" w:space="0"/>
            </w:tcBorders>
            <w:vAlign w:val="center"/>
          </w:tcPr>
          <w:p>
            <w:pPr>
              <w:pStyle w:val="42"/>
              <w:keepNext w:val="0"/>
              <w:keepLines w:val="0"/>
              <w:pageBreakBefore w:val="0"/>
              <w:widowControl w:val="0"/>
              <w:kinsoku/>
              <w:wordWrap/>
              <w:overflowPunct/>
              <w:topLinePunct w:val="0"/>
              <w:autoSpaceDE/>
              <w:autoSpaceDN/>
              <w:bidi w:val="0"/>
              <w:adjustRightInd/>
              <w:snapToGrid/>
              <w:spacing w:before="99" w:line="240" w:lineRule="auto"/>
              <w:ind w:left="7"/>
              <w:jc w:val="center"/>
              <w:textAlignment w:val="auto"/>
              <w:rPr>
                <w:rFonts w:hint="eastAsia" w:ascii="宋体" w:hAnsi="宋体" w:eastAsia="宋体" w:cs="宋体"/>
                <w:sz w:val="24"/>
                <w:szCs w:val="24"/>
              </w:rPr>
            </w:pPr>
            <w:r>
              <w:rPr>
                <w:rFonts w:hint="eastAsia" w:ascii="宋体" w:hAnsi="宋体" w:eastAsia="宋体" w:cs="宋体"/>
                <w:b/>
                <w:bCs/>
                <w:sz w:val="24"/>
                <w:szCs w:val="24"/>
              </w:rPr>
              <w:t>编 列 内容</w:t>
            </w:r>
          </w:p>
        </w:tc>
      </w:tr>
      <w:tr>
        <w:tblPrEx>
          <w:tblCellMar>
            <w:top w:w="0" w:type="dxa"/>
            <w:left w:w="0" w:type="dxa"/>
            <w:bottom w:w="0" w:type="dxa"/>
            <w:right w:w="0" w:type="dxa"/>
          </w:tblCellMar>
        </w:tblPrEx>
        <w:trPr>
          <w:trHeight w:val="43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1"/>
              <w:jc w:val="center"/>
              <w:rPr>
                <w:rFonts w:hint="eastAsia" w:ascii="宋体" w:hAnsi="宋体" w:eastAsia="宋体" w:cs="宋体"/>
                <w:sz w:val="24"/>
                <w:szCs w:val="24"/>
              </w:rPr>
            </w:pPr>
            <w:r>
              <w:rPr>
                <w:rFonts w:hint="eastAsia" w:ascii="宋体" w:hAnsi="宋体" w:eastAsia="宋体" w:cs="宋体"/>
                <w:w w:val="101"/>
                <w:sz w:val="24"/>
                <w:szCs w:val="24"/>
              </w:rPr>
              <w:t>1</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8"/>
              <w:jc w:val="center"/>
              <w:rPr>
                <w:rFonts w:hint="eastAsia" w:ascii="宋体" w:hAnsi="宋体" w:eastAsia="宋体" w:cs="宋体"/>
                <w:sz w:val="24"/>
                <w:szCs w:val="24"/>
              </w:rPr>
            </w:pPr>
            <w:r>
              <w:rPr>
                <w:rFonts w:hint="eastAsia" w:ascii="宋体" w:hAnsi="宋体" w:eastAsia="宋体" w:cs="宋体"/>
                <w:spacing w:val="3"/>
                <w:sz w:val="24"/>
                <w:szCs w:val="24"/>
              </w:rPr>
              <w:t>采购人</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73"/>
              <w:ind w:left="111"/>
              <w:jc w:val="left"/>
              <w:rPr>
                <w:rFonts w:hint="eastAsia" w:ascii="宋体" w:hAnsi="宋体" w:eastAsia="宋体" w:cs="宋体"/>
                <w:sz w:val="24"/>
                <w:szCs w:val="24"/>
              </w:rPr>
            </w:pPr>
            <w:r>
              <w:rPr>
                <w:rFonts w:hint="eastAsia" w:ascii="宋体" w:hAnsi="宋体" w:eastAsia="宋体" w:cs="宋体"/>
                <w:sz w:val="24"/>
                <w:szCs w:val="24"/>
              </w:rPr>
              <w:t>睢县教育体育局</w:t>
            </w:r>
          </w:p>
        </w:tc>
      </w:tr>
      <w:tr>
        <w:tblPrEx>
          <w:tblCellMar>
            <w:top w:w="0" w:type="dxa"/>
            <w:left w:w="0" w:type="dxa"/>
            <w:bottom w:w="0" w:type="dxa"/>
            <w:right w:w="0" w:type="dxa"/>
          </w:tblCellMar>
        </w:tblPrEx>
        <w:trPr>
          <w:trHeight w:val="528"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1"/>
              <w:jc w:val="center"/>
              <w:rPr>
                <w:rFonts w:hint="eastAsia" w:ascii="宋体" w:hAnsi="宋体" w:eastAsia="宋体" w:cs="宋体"/>
                <w:sz w:val="24"/>
                <w:szCs w:val="24"/>
              </w:rPr>
            </w:pPr>
            <w:r>
              <w:rPr>
                <w:rFonts w:hint="eastAsia" w:ascii="宋体" w:hAnsi="宋体" w:eastAsia="宋体" w:cs="宋体"/>
                <w:w w:val="101"/>
                <w:sz w:val="24"/>
                <w:szCs w:val="24"/>
              </w:rPr>
              <w:t>2</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jc w:val="center"/>
              <w:rPr>
                <w:rFonts w:hint="eastAsia" w:ascii="宋体" w:hAnsi="宋体" w:eastAsia="宋体" w:cs="宋体"/>
                <w:sz w:val="24"/>
                <w:szCs w:val="24"/>
              </w:rPr>
            </w:pPr>
            <w:r>
              <w:rPr>
                <w:rFonts w:hint="eastAsia" w:ascii="宋体" w:hAnsi="宋体" w:eastAsia="宋体" w:cs="宋体"/>
                <w:spacing w:val="2"/>
                <w:sz w:val="24"/>
                <w:szCs w:val="24"/>
              </w:rPr>
              <w:t>采购代理机构</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67"/>
              <w:ind w:left="111"/>
              <w:jc w:val="left"/>
              <w:rPr>
                <w:rFonts w:hint="eastAsia" w:ascii="宋体" w:hAnsi="宋体" w:eastAsia="宋体" w:cs="宋体"/>
                <w:sz w:val="24"/>
                <w:szCs w:val="24"/>
                <w:lang w:eastAsia="zh-CN"/>
              </w:rPr>
            </w:pPr>
            <w:r>
              <w:rPr>
                <w:rFonts w:hint="eastAsia" w:ascii="宋体" w:hAnsi="宋体" w:eastAsia="宋体" w:cs="宋体"/>
                <w:spacing w:val="-5"/>
                <w:sz w:val="24"/>
                <w:szCs w:val="24"/>
                <w:lang w:eastAsia="zh-CN"/>
              </w:rPr>
              <w:t>亿鑫工程咨询有限公司</w:t>
            </w:r>
          </w:p>
        </w:tc>
      </w:tr>
      <w:tr>
        <w:tblPrEx>
          <w:tblCellMar>
            <w:top w:w="0" w:type="dxa"/>
            <w:left w:w="0" w:type="dxa"/>
            <w:bottom w:w="0" w:type="dxa"/>
            <w:right w:w="0" w:type="dxa"/>
          </w:tblCellMar>
        </w:tblPrEx>
        <w:trPr>
          <w:trHeight w:val="457"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1"/>
              <w:jc w:val="center"/>
              <w:rPr>
                <w:rFonts w:hint="eastAsia" w:ascii="宋体" w:hAnsi="宋体" w:eastAsia="宋体" w:cs="宋体"/>
                <w:sz w:val="24"/>
                <w:szCs w:val="24"/>
              </w:rPr>
            </w:pPr>
            <w:r>
              <w:rPr>
                <w:rFonts w:hint="eastAsia" w:ascii="宋体" w:hAnsi="宋体" w:eastAsia="宋体" w:cs="宋体"/>
                <w:w w:val="101"/>
                <w:sz w:val="24"/>
                <w:szCs w:val="24"/>
              </w:rPr>
              <w:t>3</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9"/>
              <w:jc w:val="center"/>
              <w:rPr>
                <w:rFonts w:hint="eastAsia" w:ascii="宋体" w:hAnsi="宋体" w:eastAsia="宋体" w:cs="宋体"/>
                <w:sz w:val="24"/>
                <w:szCs w:val="24"/>
              </w:rPr>
            </w:pPr>
            <w:r>
              <w:rPr>
                <w:rFonts w:hint="eastAsia" w:ascii="宋体" w:hAnsi="宋体" w:eastAsia="宋体" w:cs="宋体"/>
                <w:sz w:val="24"/>
                <w:szCs w:val="24"/>
              </w:rPr>
              <w:t>采购方式</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99"/>
              <w:ind w:left="111"/>
              <w:jc w:val="left"/>
              <w:rPr>
                <w:rFonts w:hint="eastAsia" w:ascii="宋体" w:hAnsi="宋体" w:eastAsia="宋体" w:cs="宋体"/>
                <w:sz w:val="24"/>
                <w:szCs w:val="24"/>
              </w:rPr>
            </w:pPr>
            <w:r>
              <w:rPr>
                <w:rFonts w:hint="eastAsia" w:ascii="宋体" w:hAnsi="宋体" w:eastAsia="宋体" w:cs="宋体"/>
                <w:sz w:val="24"/>
                <w:szCs w:val="24"/>
              </w:rPr>
              <w:t>公开招标</w:t>
            </w:r>
          </w:p>
        </w:tc>
      </w:tr>
      <w:tr>
        <w:tblPrEx>
          <w:tblCellMar>
            <w:top w:w="0" w:type="dxa"/>
            <w:left w:w="0" w:type="dxa"/>
            <w:bottom w:w="0" w:type="dxa"/>
            <w:right w:w="0" w:type="dxa"/>
          </w:tblCellMar>
        </w:tblPrEx>
        <w:trPr>
          <w:trHeight w:val="427"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84"/>
              <w:ind w:left="11"/>
              <w:jc w:val="center"/>
              <w:rPr>
                <w:rFonts w:hint="eastAsia" w:ascii="宋体" w:hAnsi="宋体" w:eastAsia="宋体" w:cs="宋体"/>
                <w:sz w:val="24"/>
                <w:szCs w:val="24"/>
              </w:rPr>
            </w:pPr>
            <w:r>
              <w:rPr>
                <w:rFonts w:hint="eastAsia" w:ascii="宋体" w:hAnsi="宋体" w:eastAsia="宋体" w:cs="宋体"/>
                <w:w w:val="101"/>
                <w:sz w:val="24"/>
                <w:szCs w:val="24"/>
              </w:rPr>
              <w:t>4</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84"/>
              <w:ind w:left="10"/>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59"/>
              <w:ind w:left="111"/>
              <w:jc w:val="left"/>
              <w:rPr>
                <w:rFonts w:hint="eastAsia" w:ascii="宋体" w:hAnsi="宋体" w:eastAsia="宋体" w:cs="宋体"/>
                <w:sz w:val="24"/>
                <w:szCs w:val="24"/>
                <w:lang w:eastAsia="zh-CN"/>
              </w:rPr>
            </w:pPr>
            <w:r>
              <w:rPr>
                <w:rFonts w:hint="eastAsia" w:ascii="宋体" w:hAnsi="宋体" w:cs="宋体"/>
                <w:sz w:val="24"/>
                <w:szCs w:val="24"/>
                <w:lang w:eastAsia="zh-CN"/>
              </w:rPr>
              <w:t>睢县2022年第二批义务教育薄弱环节改善与能力提升教育设备项目</w:t>
            </w:r>
          </w:p>
        </w:tc>
      </w:tr>
      <w:tr>
        <w:tblPrEx>
          <w:tblCellMar>
            <w:top w:w="0" w:type="dxa"/>
            <w:left w:w="0" w:type="dxa"/>
            <w:bottom w:w="0" w:type="dxa"/>
            <w:right w:w="0" w:type="dxa"/>
          </w:tblCellMar>
        </w:tblPrEx>
        <w:trPr>
          <w:trHeight w:val="453"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1"/>
              <w:jc w:val="center"/>
              <w:rPr>
                <w:rFonts w:hint="eastAsia" w:ascii="宋体" w:hAnsi="宋体" w:eastAsia="宋体" w:cs="宋体"/>
                <w:sz w:val="24"/>
                <w:szCs w:val="24"/>
              </w:rPr>
            </w:pPr>
            <w:r>
              <w:rPr>
                <w:rFonts w:hint="eastAsia" w:ascii="宋体" w:hAnsi="宋体" w:eastAsia="宋体" w:cs="宋体"/>
                <w:w w:val="101"/>
                <w:sz w:val="24"/>
                <w:szCs w:val="24"/>
              </w:rPr>
              <w:t>5</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9"/>
              <w:jc w:val="center"/>
              <w:rPr>
                <w:rFonts w:hint="eastAsia" w:ascii="宋体" w:hAnsi="宋体" w:eastAsia="宋体" w:cs="宋体"/>
                <w:sz w:val="24"/>
                <w:szCs w:val="24"/>
              </w:rPr>
            </w:pPr>
            <w:r>
              <w:rPr>
                <w:rFonts w:hint="eastAsia" w:ascii="宋体" w:hAnsi="宋体" w:eastAsia="宋体" w:cs="宋体"/>
                <w:sz w:val="24"/>
                <w:szCs w:val="24"/>
              </w:rPr>
              <w:t>资金来源</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99"/>
              <w:ind w:left="111"/>
              <w:jc w:val="left"/>
              <w:rPr>
                <w:rFonts w:hint="eastAsia" w:ascii="宋体" w:hAnsi="宋体" w:eastAsia="宋体" w:cs="宋体"/>
                <w:sz w:val="24"/>
                <w:szCs w:val="24"/>
              </w:rPr>
            </w:pPr>
            <w:r>
              <w:rPr>
                <w:rFonts w:hint="eastAsia" w:ascii="宋体" w:hAnsi="宋体" w:eastAsia="宋体" w:cs="宋体"/>
                <w:sz w:val="24"/>
                <w:szCs w:val="24"/>
              </w:rPr>
              <w:t>财政资金</w:t>
            </w:r>
          </w:p>
        </w:tc>
      </w:tr>
      <w:tr>
        <w:tblPrEx>
          <w:tblCellMar>
            <w:top w:w="0" w:type="dxa"/>
            <w:left w:w="0" w:type="dxa"/>
            <w:bottom w:w="0" w:type="dxa"/>
            <w:right w:w="0" w:type="dxa"/>
          </w:tblCellMar>
        </w:tblPrEx>
        <w:trPr>
          <w:trHeight w:val="40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1"/>
              <w:jc w:val="center"/>
              <w:rPr>
                <w:rFonts w:hint="eastAsia" w:ascii="宋体" w:hAnsi="宋体" w:eastAsia="宋体" w:cs="宋体"/>
                <w:sz w:val="24"/>
                <w:szCs w:val="24"/>
              </w:rPr>
            </w:pPr>
            <w:r>
              <w:rPr>
                <w:rFonts w:hint="eastAsia" w:ascii="宋体" w:hAnsi="宋体" w:eastAsia="宋体" w:cs="宋体"/>
                <w:w w:val="101"/>
                <w:sz w:val="24"/>
                <w:szCs w:val="24"/>
              </w:rPr>
              <w:t>6</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jc w:val="center"/>
              <w:rPr>
                <w:rFonts w:hint="eastAsia" w:ascii="宋体" w:hAnsi="宋体" w:eastAsia="宋体" w:cs="宋体"/>
                <w:sz w:val="24"/>
                <w:szCs w:val="24"/>
              </w:rPr>
            </w:pPr>
            <w:r>
              <w:rPr>
                <w:rFonts w:hint="eastAsia" w:ascii="宋体" w:hAnsi="宋体" w:eastAsia="宋体" w:cs="宋体"/>
                <w:spacing w:val="2"/>
                <w:sz w:val="24"/>
                <w:szCs w:val="24"/>
              </w:rPr>
              <w:t>资金落实情况</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99"/>
              <w:ind w:left="111"/>
              <w:jc w:val="left"/>
              <w:rPr>
                <w:rFonts w:hint="eastAsia" w:ascii="宋体" w:hAnsi="宋体" w:eastAsia="宋体" w:cs="宋体"/>
                <w:sz w:val="24"/>
                <w:szCs w:val="24"/>
              </w:rPr>
            </w:pPr>
            <w:r>
              <w:rPr>
                <w:rFonts w:hint="eastAsia" w:ascii="宋体" w:hAnsi="宋体" w:eastAsia="宋体" w:cs="宋体"/>
                <w:spacing w:val="3"/>
                <w:sz w:val="24"/>
                <w:szCs w:val="24"/>
              </w:rPr>
              <w:t>已落实</w:t>
            </w:r>
          </w:p>
        </w:tc>
      </w:tr>
      <w:tr>
        <w:tblPrEx>
          <w:tblCellMar>
            <w:top w:w="0" w:type="dxa"/>
            <w:left w:w="0" w:type="dxa"/>
            <w:bottom w:w="0" w:type="dxa"/>
            <w:right w:w="0" w:type="dxa"/>
          </w:tblCellMar>
        </w:tblPrEx>
        <w:trPr>
          <w:trHeight w:val="73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59"/>
              <w:ind w:left="11"/>
              <w:jc w:val="center"/>
              <w:rPr>
                <w:rFonts w:hint="eastAsia" w:ascii="宋体" w:hAnsi="宋体" w:eastAsia="宋体" w:cs="宋体"/>
                <w:sz w:val="24"/>
                <w:szCs w:val="24"/>
              </w:rPr>
            </w:pPr>
            <w:r>
              <w:rPr>
                <w:rFonts w:hint="eastAsia" w:ascii="宋体" w:hAnsi="宋体" w:eastAsia="宋体" w:cs="宋体"/>
                <w:w w:val="101"/>
                <w:sz w:val="24"/>
                <w:szCs w:val="24"/>
              </w:rPr>
              <w:t>7</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59"/>
              <w:jc w:val="center"/>
              <w:rPr>
                <w:rFonts w:hint="eastAsia" w:ascii="宋体" w:hAnsi="宋体" w:eastAsia="宋体" w:cs="宋体"/>
                <w:sz w:val="24"/>
                <w:szCs w:val="24"/>
              </w:rPr>
            </w:pPr>
            <w:r>
              <w:rPr>
                <w:rFonts w:hint="eastAsia" w:ascii="宋体" w:hAnsi="宋体" w:eastAsia="宋体" w:cs="宋体"/>
                <w:spacing w:val="3"/>
                <w:sz w:val="24"/>
                <w:szCs w:val="24"/>
              </w:rPr>
              <w:t>采购控制价</w:t>
            </w:r>
          </w:p>
        </w:tc>
        <w:tc>
          <w:tcPr>
            <w:tcW w:w="7218" w:type="dxa"/>
            <w:tcBorders>
              <w:top w:val="single" w:color="000000" w:sz="2" w:space="0"/>
              <w:left w:val="single" w:color="000000" w:sz="2" w:space="0"/>
              <w:bottom w:val="single" w:color="000000" w:sz="2" w:space="0"/>
              <w:right w:val="single" w:color="000000" w:sz="2" w:space="0"/>
            </w:tcBorders>
          </w:tcPr>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控制价：</w:t>
            </w:r>
            <w:r>
              <w:rPr>
                <w:rFonts w:hint="eastAsia" w:ascii="宋体" w:hAnsi="宋体" w:cs="宋体"/>
                <w:sz w:val="24"/>
                <w:szCs w:val="24"/>
                <w:lang w:val="en-US" w:eastAsia="zh-CN"/>
              </w:rPr>
              <w:t>405万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w:t>
            </w:r>
          </w:p>
          <w:p>
            <w:pPr>
              <w:pStyle w:val="42"/>
              <w:ind w:left="111"/>
              <w:jc w:val="left"/>
              <w:rPr>
                <w:rFonts w:hint="eastAsia" w:ascii="宋体" w:hAnsi="宋体" w:eastAsia="宋体" w:cs="宋体"/>
                <w:sz w:val="24"/>
                <w:szCs w:val="24"/>
              </w:rPr>
            </w:pPr>
            <w:r>
              <w:rPr>
                <w:rFonts w:hint="eastAsia" w:ascii="宋体" w:hAnsi="宋体" w:eastAsia="宋体" w:cs="宋体"/>
                <w:b/>
                <w:bCs/>
                <w:sz w:val="24"/>
                <w:szCs w:val="24"/>
              </w:rPr>
              <w:t>超过本采购控制价的投标文件将被拒绝</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520"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21"/>
              <w:ind w:left="11"/>
              <w:jc w:val="center"/>
              <w:rPr>
                <w:rFonts w:hint="eastAsia" w:ascii="宋体" w:hAnsi="宋体" w:eastAsia="宋体" w:cs="宋体"/>
                <w:w w:val="101"/>
                <w:sz w:val="24"/>
                <w:szCs w:val="24"/>
              </w:rPr>
            </w:pPr>
            <w:r>
              <w:rPr>
                <w:rFonts w:hint="eastAsia" w:ascii="宋体" w:hAnsi="宋体" w:eastAsia="宋体" w:cs="宋体"/>
                <w:w w:val="101"/>
                <w:sz w:val="24"/>
                <w:szCs w:val="24"/>
              </w:rPr>
              <w:t>8</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21"/>
              <w:ind w:left="9"/>
              <w:jc w:val="center"/>
              <w:rPr>
                <w:rFonts w:hint="eastAsia" w:ascii="宋体" w:hAnsi="宋体" w:eastAsia="宋体" w:cs="宋体"/>
                <w:spacing w:val="3"/>
                <w:sz w:val="24"/>
                <w:szCs w:val="24"/>
              </w:rPr>
            </w:pPr>
            <w:r>
              <w:rPr>
                <w:rFonts w:hint="eastAsia" w:ascii="宋体" w:hAnsi="宋体" w:eastAsia="宋体" w:cs="宋体"/>
                <w:sz w:val="24"/>
                <w:szCs w:val="24"/>
              </w:rPr>
              <w:t>招标范围</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121"/>
              <w:ind w:left="111"/>
              <w:jc w:val="left"/>
              <w:rPr>
                <w:rFonts w:hint="eastAsia" w:ascii="宋体" w:hAnsi="宋体" w:eastAsia="宋体" w:cs="宋体"/>
                <w:b/>
                <w:bCs/>
                <w:sz w:val="24"/>
                <w:szCs w:val="24"/>
              </w:rPr>
            </w:pPr>
            <w:r>
              <w:rPr>
                <w:rFonts w:hint="eastAsia" w:ascii="宋体" w:hAnsi="宋体" w:eastAsia="宋体" w:cs="宋体"/>
                <w:spacing w:val="2"/>
                <w:sz w:val="24"/>
                <w:szCs w:val="24"/>
              </w:rPr>
              <w:t>详见采购清单</w:t>
            </w:r>
          </w:p>
        </w:tc>
      </w:tr>
      <w:tr>
        <w:tblPrEx>
          <w:tblCellMar>
            <w:top w:w="0" w:type="dxa"/>
            <w:left w:w="0" w:type="dxa"/>
            <w:bottom w:w="0" w:type="dxa"/>
            <w:right w:w="0" w:type="dxa"/>
          </w:tblCellMar>
        </w:tblPrEx>
        <w:trPr>
          <w:trHeight w:val="398"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70"/>
              <w:ind w:left="11"/>
              <w:jc w:val="center"/>
              <w:rPr>
                <w:rFonts w:hint="eastAsia" w:ascii="宋体" w:hAnsi="宋体" w:eastAsia="宋体" w:cs="宋体"/>
                <w:w w:val="101"/>
                <w:sz w:val="24"/>
                <w:szCs w:val="24"/>
              </w:rPr>
            </w:pPr>
            <w:r>
              <w:rPr>
                <w:rFonts w:hint="eastAsia" w:ascii="宋体" w:hAnsi="宋体" w:eastAsia="宋体" w:cs="宋体"/>
                <w:w w:val="101"/>
                <w:sz w:val="24"/>
                <w:szCs w:val="24"/>
              </w:rPr>
              <w:t>9</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70"/>
              <w:ind w:left="18"/>
              <w:jc w:val="center"/>
              <w:rPr>
                <w:rFonts w:hint="eastAsia" w:ascii="宋体" w:hAnsi="宋体" w:eastAsia="宋体" w:cs="宋体"/>
                <w:spacing w:val="3"/>
                <w:sz w:val="24"/>
                <w:szCs w:val="24"/>
              </w:rPr>
            </w:pPr>
            <w:r>
              <w:rPr>
                <w:rFonts w:hint="eastAsia" w:ascii="宋体" w:hAnsi="宋体" w:eastAsia="宋体" w:cs="宋体"/>
                <w:spacing w:val="3"/>
                <w:sz w:val="24"/>
                <w:szCs w:val="24"/>
              </w:rPr>
              <w:t>交货期及质保期</w:t>
            </w:r>
          </w:p>
        </w:tc>
        <w:tc>
          <w:tcPr>
            <w:tcW w:w="7218" w:type="dxa"/>
            <w:tcBorders>
              <w:top w:val="single" w:color="000000" w:sz="2" w:space="0"/>
              <w:left w:val="single" w:color="000000" w:sz="2" w:space="0"/>
              <w:bottom w:val="single" w:color="000000" w:sz="2" w:space="0"/>
              <w:right w:val="single" w:color="000000" w:sz="2" w:space="0"/>
            </w:tcBorders>
          </w:tcPr>
          <w:p>
            <w:pPr>
              <w:pStyle w:val="11"/>
              <w:spacing w:before="74" w:line="360" w:lineRule="auto"/>
              <w:rPr>
                <w:rFonts w:hint="eastAsia" w:ascii="宋体" w:hAnsi="宋体" w:eastAsia="宋体" w:cs="宋体"/>
                <w:sz w:val="24"/>
                <w:szCs w:val="24"/>
              </w:rPr>
            </w:pPr>
            <w:r>
              <w:rPr>
                <w:rFonts w:hint="eastAsia" w:ascii="宋体" w:hAnsi="宋体" w:eastAsia="宋体" w:cs="宋体"/>
                <w:sz w:val="24"/>
                <w:szCs w:val="24"/>
              </w:rPr>
              <w:t>交货期：合同签订后30日历天，质保期：三年</w:t>
            </w:r>
          </w:p>
          <w:p>
            <w:pPr>
              <w:pStyle w:val="42"/>
              <w:spacing w:before="70"/>
              <w:ind w:left="111"/>
              <w:jc w:val="left"/>
              <w:rPr>
                <w:rFonts w:hint="eastAsia" w:ascii="宋体" w:hAnsi="宋体" w:eastAsia="宋体" w:cs="宋体"/>
                <w:b/>
                <w:bCs/>
                <w:sz w:val="24"/>
                <w:szCs w:val="24"/>
              </w:rPr>
            </w:pPr>
          </w:p>
        </w:tc>
      </w:tr>
      <w:tr>
        <w:tblPrEx>
          <w:tblCellMar>
            <w:top w:w="0" w:type="dxa"/>
            <w:left w:w="0" w:type="dxa"/>
            <w:bottom w:w="0" w:type="dxa"/>
            <w:right w:w="0" w:type="dxa"/>
          </w:tblCellMar>
        </w:tblPrEx>
        <w:trPr>
          <w:trHeight w:val="43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5"/>
              <w:jc w:val="center"/>
              <w:rPr>
                <w:rFonts w:hint="eastAsia" w:ascii="宋体" w:hAnsi="宋体" w:eastAsia="宋体" w:cs="宋体"/>
                <w:w w:val="101"/>
                <w:sz w:val="24"/>
                <w:szCs w:val="24"/>
              </w:rPr>
            </w:pPr>
            <w:r>
              <w:rPr>
                <w:rFonts w:hint="eastAsia" w:ascii="宋体" w:hAnsi="宋体" w:eastAsia="宋体" w:cs="宋体"/>
                <w:sz w:val="24"/>
                <w:szCs w:val="24"/>
              </w:rPr>
              <w:t>10</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9"/>
              <w:jc w:val="center"/>
              <w:rPr>
                <w:rFonts w:hint="eastAsia" w:ascii="宋体" w:hAnsi="宋体" w:eastAsia="宋体" w:cs="宋体"/>
                <w:spacing w:val="3"/>
                <w:sz w:val="24"/>
                <w:szCs w:val="24"/>
              </w:rPr>
            </w:pPr>
            <w:r>
              <w:rPr>
                <w:rFonts w:hint="eastAsia" w:ascii="宋体" w:hAnsi="宋体" w:eastAsia="宋体" w:cs="宋体"/>
                <w:sz w:val="24"/>
                <w:szCs w:val="24"/>
              </w:rPr>
              <w:t>交货地点</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99"/>
              <w:ind w:left="111"/>
              <w:jc w:val="left"/>
              <w:rPr>
                <w:rFonts w:hint="eastAsia" w:ascii="宋体" w:hAnsi="宋体" w:eastAsia="宋体" w:cs="宋体"/>
                <w:b/>
                <w:bCs/>
                <w:sz w:val="24"/>
                <w:szCs w:val="24"/>
              </w:rPr>
            </w:pPr>
            <w:r>
              <w:rPr>
                <w:rFonts w:hint="eastAsia" w:ascii="宋体" w:hAnsi="宋体" w:eastAsia="宋体" w:cs="宋体"/>
                <w:sz w:val="24"/>
                <w:szCs w:val="24"/>
              </w:rPr>
              <w:t>采购人指定地点</w:t>
            </w:r>
          </w:p>
        </w:tc>
      </w:tr>
      <w:tr>
        <w:tblPrEx>
          <w:tblCellMar>
            <w:top w:w="0" w:type="dxa"/>
            <w:left w:w="0" w:type="dxa"/>
            <w:bottom w:w="0" w:type="dxa"/>
            <w:right w:w="0" w:type="dxa"/>
          </w:tblCellMar>
        </w:tblPrEx>
        <w:trPr>
          <w:trHeight w:val="487"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59"/>
              <w:ind w:left="11"/>
              <w:jc w:val="center"/>
              <w:rPr>
                <w:rFonts w:hint="eastAsia" w:ascii="宋体" w:hAnsi="宋体" w:eastAsia="宋体" w:cs="宋体"/>
                <w:w w:val="101"/>
                <w:sz w:val="24"/>
                <w:szCs w:val="24"/>
              </w:rPr>
            </w:pPr>
            <w:r>
              <w:rPr>
                <w:rFonts w:hint="eastAsia" w:ascii="宋体" w:hAnsi="宋体" w:eastAsia="宋体" w:cs="宋体"/>
                <w:sz w:val="24"/>
                <w:szCs w:val="24"/>
              </w:rPr>
              <w:t>11</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59"/>
              <w:jc w:val="center"/>
              <w:rPr>
                <w:rFonts w:hint="eastAsia" w:ascii="宋体" w:hAnsi="宋体" w:eastAsia="宋体" w:cs="宋体"/>
                <w:spacing w:val="3"/>
                <w:sz w:val="24"/>
                <w:szCs w:val="24"/>
              </w:rPr>
            </w:pPr>
            <w:r>
              <w:rPr>
                <w:rFonts w:hint="eastAsia" w:ascii="宋体" w:hAnsi="宋体" w:eastAsia="宋体" w:cs="宋体"/>
                <w:sz w:val="24"/>
                <w:szCs w:val="24"/>
              </w:rPr>
              <w:t>质量要求</w:t>
            </w:r>
          </w:p>
        </w:tc>
        <w:tc>
          <w:tcPr>
            <w:tcW w:w="7218" w:type="dxa"/>
            <w:tcBorders>
              <w:top w:val="single" w:color="000000" w:sz="2" w:space="0"/>
              <w:left w:val="single" w:color="000000" w:sz="2" w:space="0"/>
              <w:bottom w:val="single" w:color="000000" w:sz="2" w:space="0"/>
              <w:right w:val="single" w:color="000000" w:sz="2" w:space="0"/>
            </w:tcBorders>
          </w:tcPr>
          <w:p>
            <w:pPr>
              <w:pStyle w:val="42"/>
              <w:ind w:left="111"/>
              <w:jc w:val="left"/>
              <w:rPr>
                <w:rFonts w:hint="eastAsia" w:ascii="宋体" w:hAnsi="宋体" w:eastAsia="宋体" w:cs="宋体"/>
                <w:b/>
                <w:bCs/>
                <w:sz w:val="24"/>
                <w:szCs w:val="24"/>
              </w:rPr>
            </w:pPr>
            <w:r>
              <w:rPr>
                <w:rFonts w:hint="eastAsia" w:ascii="宋体" w:hAnsi="宋体" w:eastAsia="宋体" w:cs="宋体"/>
                <w:spacing w:val="6"/>
                <w:sz w:val="24"/>
                <w:szCs w:val="24"/>
              </w:rPr>
              <w:t>合格</w:t>
            </w:r>
          </w:p>
        </w:tc>
      </w:tr>
      <w:tr>
        <w:tblPrEx>
          <w:tblCellMar>
            <w:top w:w="0" w:type="dxa"/>
            <w:left w:w="0" w:type="dxa"/>
            <w:bottom w:w="0" w:type="dxa"/>
            <w:right w:w="0" w:type="dxa"/>
          </w:tblCellMar>
        </w:tblPrEx>
        <w:trPr>
          <w:trHeight w:val="550"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59"/>
              <w:ind w:left="11"/>
              <w:jc w:val="center"/>
              <w:rPr>
                <w:rFonts w:hint="eastAsia" w:ascii="宋体" w:hAnsi="宋体" w:eastAsia="宋体" w:cs="宋体"/>
                <w:sz w:val="24"/>
                <w:szCs w:val="24"/>
              </w:rPr>
            </w:pPr>
            <w:r>
              <w:rPr>
                <w:rFonts w:hint="eastAsia" w:ascii="宋体" w:hAnsi="宋体" w:eastAsia="宋体" w:cs="宋体"/>
                <w:sz w:val="24"/>
                <w:szCs w:val="24"/>
              </w:rPr>
              <w:t>12</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59"/>
              <w:jc w:val="center"/>
              <w:rPr>
                <w:rFonts w:hint="eastAsia" w:ascii="宋体" w:hAnsi="宋体" w:eastAsia="宋体" w:cs="宋体"/>
                <w:sz w:val="24"/>
                <w:szCs w:val="24"/>
              </w:rPr>
            </w:pPr>
            <w:r>
              <w:rPr>
                <w:rFonts w:hint="eastAsia" w:ascii="宋体" w:hAnsi="宋体" w:eastAsia="宋体" w:cs="宋体"/>
                <w:sz w:val="24"/>
                <w:szCs w:val="24"/>
              </w:rPr>
              <w:t>供应商资质条件</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67" w:line="300" w:lineRule="auto"/>
              <w:ind w:left="111" w:right="97"/>
              <w:rPr>
                <w:rFonts w:hint="eastAsia" w:ascii="宋体" w:hAnsi="宋体" w:eastAsia="宋体" w:cs="宋体"/>
                <w:sz w:val="24"/>
                <w:szCs w:val="24"/>
              </w:rPr>
            </w:pPr>
            <w:r>
              <w:rPr>
                <w:rFonts w:hint="eastAsia" w:ascii="宋体" w:hAnsi="宋体" w:eastAsia="宋体" w:cs="宋体"/>
                <w:sz w:val="24"/>
                <w:szCs w:val="24"/>
              </w:rPr>
              <w:t>详见采购公告。</w:t>
            </w: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p>
          <w:p>
            <w:pPr>
              <w:pStyle w:val="42"/>
              <w:spacing w:before="67" w:line="300" w:lineRule="auto"/>
              <w:ind w:left="111" w:right="97"/>
              <w:rPr>
                <w:rFonts w:hint="eastAsia" w:ascii="宋体" w:hAnsi="宋体" w:eastAsia="宋体" w:cs="宋体"/>
                <w:sz w:val="24"/>
                <w:szCs w:val="24"/>
              </w:rPr>
            </w:pPr>
            <w:r>
              <w:rPr>
                <w:rFonts w:hint="eastAsia" w:ascii="宋体" w:hAnsi="宋体" w:eastAsia="宋体" w:cs="宋体"/>
                <w:sz w:val="24"/>
                <w:szCs w:val="24"/>
              </w:rPr>
              <w:t>份）；</w:t>
            </w:r>
          </w:p>
          <w:p>
            <w:pPr>
              <w:pStyle w:val="42"/>
              <w:spacing w:before="17" w:line="292" w:lineRule="auto"/>
              <w:ind w:left="111" w:right="95"/>
              <w:rPr>
                <w:rFonts w:hint="eastAsia" w:ascii="宋体" w:hAnsi="宋体" w:eastAsia="宋体" w:cs="宋体"/>
                <w:sz w:val="24"/>
                <w:szCs w:val="24"/>
              </w:rPr>
            </w:pPr>
            <w:r>
              <w:rPr>
                <w:rFonts w:hint="eastAsia" w:ascii="宋体" w:hAnsi="宋体" w:eastAsia="宋体" w:cs="宋体"/>
                <w:spacing w:val="2"/>
                <w:sz w:val="24"/>
                <w:szCs w:val="24"/>
              </w:rPr>
              <w:t>⑤参加本项目采购活动前三年内，在经营活动中没有重大</w:t>
            </w:r>
            <w:r>
              <w:rPr>
                <w:rFonts w:hint="eastAsia" w:ascii="宋体" w:hAnsi="宋体" w:eastAsia="宋体" w:cs="宋体"/>
                <w:sz w:val="24"/>
                <w:szCs w:val="24"/>
              </w:rPr>
              <w:t>违法记录。</w:t>
            </w:r>
          </w:p>
          <w:p>
            <w:pPr>
              <w:pStyle w:val="42"/>
              <w:spacing w:before="23" w:line="295" w:lineRule="auto"/>
              <w:ind w:left="111" w:right="92"/>
              <w:rPr>
                <w:rFonts w:hint="eastAsia" w:ascii="宋体" w:hAnsi="宋体" w:eastAsia="宋体" w:cs="宋体"/>
                <w:sz w:val="24"/>
                <w:szCs w:val="24"/>
              </w:rPr>
            </w:pPr>
            <w:r>
              <w:rPr>
                <w:rFonts w:hint="eastAsia" w:ascii="宋体" w:hAnsi="宋体" w:eastAsia="宋体" w:cs="宋体"/>
                <w:sz w:val="24"/>
                <w:szCs w:val="24"/>
              </w:rPr>
              <w:t>2.1.2</w:t>
            </w:r>
            <w:r>
              <w:rPr>
                <w:rFonts w:hint="eastAsia" w:ascii="宋体" w:hAnsi="宋体" w:eastAsia="宋体" w:cs="宋体"/>
                <w:spacing w:val="-4"/>
                <w:sz w:val="24"/>
                <w:szCs w:val="24"/>
              </w:rPr>
              <w:t>供应商具有独立法人资格，具有有效的营业执照（副</w:t>
            </w:r>
            <w:r>
              <w:rPr>
                <w:rFonts w:hint="eastAsia" w:ascii="宋体" w:hAnsi="宋体" w:eastAsia="宋体" w:cs="宋体"/>
                <w:sz w:val="24"/>
                <w:szCs w:val="24"/>
              </w:rPr>
              <w:t>本）、税务登记证（副本）、组织机构代码证（副本）或三证合一的营业执照副本；</w:t>
            </w:r>
          </w:p>
          <w:p>
            <w:pPr>
              <w:pStyle w:val="42"/>
              <w:spacing w:before="21" w:line="297" w:lineRule="auto"/>
              <w:ind w:left="111" w:right="94"/>
              <w:rPr>
                <w:rFonts w:hint="eastAsia" w:ascii="宋体" w:hAnsi="宋体" w:eastAsia="宋体" w:cs="宋体"/>
                <w:sz w:val="24"/>
                <w:szCs w:val="24"/>
              </w:rPr>
            </w:pPr>
            <w:r>
              <w:rPr>
                <w:rFonts w:hint="eastAsia" w:ascii="宋体" w:hAnsi="宋体" w:eastAsia="宋体" w:cs="宋体"/>
                <w:sz w:val="24"/>
                <w:szCs w:val="24"/>
              </w:rPr>
              <w:t>2.1.3根据《关于在政府采购活动中查询及使用信用记录</w:t>
            </w:r>
            <w:r>
              <w:rPr>
                <w:rFonts w:hint="eastAsia" w:ascii="宋体" w:hAnsi="宋体" w:eastAsia="宋体" w:cs="宋体"/>
                <w:spacing w:val="-3"/>
                <w:sz w:val="24"/>
                <w:szCs w:val="24"/>
              </w:rPr>
              <w:t xml:space="preserve">有关问题的通知》(财库[2016]125 </w:t>
            </w:r>
            <w:r>
              <w:rPr>
                <w:rFonts w:hint="eastAsia" w:ascii="宋体" w:hAnsi="宋体" w:eastAsia="宋体" w:cs="宋体"/>
                <w:spacing w:val="-6"/>
                <w:sz w:val="24"/>
                <w:szCs w:val="24"/>
              </w:rPr>
              <w:t>号)的规定，供应商需提</w:t>
            </w:r>
            <w:r>
              <w:rPr>
                <w:rFonts w:hint="eastAsia" w:ascii="宋体" w:hAnsi="宋体" w:eastAsia="宋体" w:cs="宋体"/>
                <w:sz w:val="24"/>
                <w:szCs w:val="24"/>
              </w:rPr>
              <w:t>供“信用中国”网站（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"http://www.creditchina.gov.cn/" \h </w:instrText>
            </w:r>
            <w:r>
              <w:rPr>
                <w:rFonts w:hint="eastAsia" w:ascii="宋体" w:hAnsi="宋体" w:eastAsia="宋体" w:cs="宋体"/>
                <w:sz w:val="24"/>
                <w:szCs w:val="24"/>
              </w:rPr>
              <w:fldChar w:fldCharType="separate"/>
            </w:r>
            <w:r>
              <w:rPr>
                <w:rFonts w:hint="eastAsia" w:ascii="宋体" w:hAnsi="宋体" w:eastAsia="宋体" w:cs="宋体"/>
                <w:sz w:val="24"/>
                <w:szCs w:val="24"/>
              </w:rPr>
              <w:t>www.creditchina.gov.cn</w:t>
            </w:r>
            <w:r>
              <w:rPr>
                <w:rFonts w:hint="eastAsia" w:ascii="宋体" w:hAnsi="宋体" w:eastAsia="宋体" w:cs="宋体"/>
                <w:sz w:val="24"/>
                <w:szCs w:val="24"/>
              </w:rPr>
              <w:fldChar w:fldCharType="end"/>
            </w:r>
            <w:r>
              <w:rPr>
                <w:rFonts w:hint="eastAsia" w:ascii="宋体" w:hAnsi="宋体" w:eastAsia="宋体" w:cs="宋体"/>
                <w:sz w:val="24"/>
                <w:szCs w:val="24"/>
              </w:rPr>
              <w:t>）、中国</w:t>
            </w:r>
            <w:r>
              <w:rPr>
                <w:rFonts w:hint="eastAsia" w:ascii="宋体" w:hAnsi="宋体" w:eastAsia="宋体" w:cs="宋体"/>
                <w:spacing w:val="-2"/>
                <w:sz w:val="24"/>
                <w:szCs w:val="24"/>
              </w:rPr>
              <w:t>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\h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www.ccgp.gov.cn</w:t>
            </w:r>
            <w:r>
              <w:rPr>
                <w:rFonts w:hint="eastAsia" w:ascii="宋体" w:hAnsi="宋体" w:eastAsia="宋体" w:cs="宋体"/>
                <w:spacing w:val="-2"/>
                <w:sz w:val="24"/>
                <w:szCs w:val="24"/>
              </w:rPr>
              <w:fldChar w:fldCharType="end"/>
            </w:r>
            <w:r>
              <w:rPr>
                <w:rFonts w:hint="eastAsia" w:ascii="宋体" w:hAnsi="宋体" w:eastAsia="宋体" w:cs="宋体"/>
                <w:spacing w:val="-2"/>
                <w:sz w:val="24"/>
                <w:szCs w:val="24"/>
              </w:rPr>
              <w:t>）的信用记录，被列入失信</w:t>
            </w:r>
            <w:r>
              <w:rPr>
                <w:rFonts w:hint="eastAsia" w:ascii="宋体" w:hAnsi="宋体" w:eastAsia="宋体" w:cs="宋体"/>
                <w:spacing w:val="2"/>
                <w:sz w:val="24"/>
                <w:szCs w:val="24"/>
              </w:rPr>
              <w:t>被执行人、重大税收违法案件当事人名单、政府采购严重</w:t>
            </w:r>
            <w:r>
              <w:rPr>
                <w:rFonts w:hint="eastAsia" w:ascii="宋体" w:hAnsi="宋体" w:eastAsia="宋体" w:cs="宋体"/>
                <w:sz w:val="24"/>
                <w:szCs w:val="24"/>
              </w:rPr>
              <w:t>违法失信行为记录名单的单位将被拒绝参与本项目政府采购活动；（供应商应在本公告发布后对本单位信用信息进行查询并将打印件加盖公章做在投标文件中）</w:t>
            </w:r>
          </w:p>
          <w:p>
            <w:pPr>
              <w:pStyle w:val="42"/>
              <w:ind w:left="111"/>
              <w:jc w:val="left"/>
              <w:rPr>
                <w:rFonts w:hint="eastAsia" w:ascii="宋体" w:hAnsi="宋体" w:eastAsia="宋体" w:cs="宋体"/>
                <w:spacing w:val="6"/>
                <w:sz w:val="24"/>
                <w:szCs w:val="24"/>
              </w:rPr>
            </w:pPr>
          </w:p>
        </w:tc>
      </w:tr>
      <w:tr>
        <w:tblPrEx>
          <w:tblCellMar>
            <w:top w:w="0" w:type="dxa"/>
            <w:left w:w="0" w:type="dxa"/>
            <w:bottom w:w="0" w:type="dxa"/>
            <w:right w:w="0" w:type="dxa"/>
          </w:tblCellMar>
        </w:tblPrEx>
        <w:trPr>
          <w:trHeight w:val="60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77"/>
              <w:ind w:left="15"/>
              <w:jc w:val="center"/>
              <w:rPr>
                <w:rFonts w:hint="eastAsia" w:ascii="宋体" w:hAnsi="宋体" w:eastAsia="宋体" w:cs="宋体"/>
                <w:sz w:val="24"/>
                <w:szCs w:val="24"/>
              </w:rPr>
            </w:pPr>
            <w:r>
              <w:rPr>
                <w:rFonts w:hint="eastAsia" w:ascii="宋体" w:hAnsi="宋体" w:eastAsia="宋体" w:cs="宋体"/>
                <w:sz w:val="24"/>
                <w:szCs w:val="24"/>
              </w:rPr>
              <w:t>13</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77"/>
              <w:jc w:val="center"/>
              <w:rPr>
                <w:rFonts w:hint="eastAsia" w:ascii="宋体" w:hAnsi="宋体" w:eastAsia="宋体" w:cs="宋体"/>
                <w:sz w:val="24"/>
                <w:szCs w:val="24"/>
              </w:rPr>
            </w:pPr>
            <w:r>
              <w:rPr>
                <w:rFonts w:hint="eastAsia" w:ascii="宋体" w:hAnsi="宋体" w:eastAsia="宋体" w:cs="宋体"/>
                <w:spacing w:val="3"/>
                <w:sz w:val="24"/>
                <w:szCs w:val="24"/>
              </w:rPr>
              <w:t>投标有效期</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77"/>
              <w:ind w:left="110"/>
              <w:jc w:val="left"/>
              <w:rPr>
                <w:rFonts w:hint="eastAsia" w:ascii="宋体" w:hAnsi="宋体" w:eastAsia="宋体" w:cs="宋体"/>
                <w:sz w:val="24"/>
                <w:szCs w:val="24"/>
              </w:rPr>
            </w:pPr>
            <w:r>
              <w:rPr>
                <w:rFonts w:hint="eastAsia" w:ascii="宋体" w:hAnsi="宋体" w:eastAsia="宋体" w:cs="宋体"/>
                <w:sz w:val="24"/>
                <w:szCs w:val="24"/>
                <w:lang w:val="en-US" w:eastAsia="zh-CN"/>
              </w:rPr>
              <w:t>90</w:t>
            </w:r>
            <w:r>
              <w:rPr>
                <w:rFonts w:hint="eastAsia" w:ascii="宋体" w:hAnsi="宋体" w:eastAsia="宋体" w:cs="宋体"/>
                <w:sz w:val="24"/>
                <w:szCs w:val="24"/>
              </w:rPr>
              <w:t>日历天（响应文件递交截止之日起）</w:t>
            </w:r>
          </w:p>
        </w:tc>
      </w:tr>
      <w:tr>
        <w:tblPrEx>
          <w:tblCellMar>
            <w:top w:w="0" w:type="dxa"/>
            <w:left w:w="0" w:type="dxa"/>
            <w:bottom w:w="0" w:type="dxa"/>
            <w:right w:w="0" w:type="dxa"/>
          </w:tblCellMar>
        </w:tblPrEx>
        <w:trPr>
          <w:trHeight w:val="157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4"/>
              <w:jc w:val="center"/>
              <w:rPr>
                <w:rFonts w:hint="eastAsia" w:ascii="宋体" w:hAnsi="宋体" w:eastAsia="宋体" w:cs="宋体"/>
                <w:sz w:val="24"/>
                <w:szCs w:val="24"/>
              </w:rPr>
            </w:pPr>
          </w:p>
          <w:p>
            <w:pPr>
              <w:pStyle w:val="42"/>
              <w:ind w:left="15"/>
              <w:jc w:val="center"/>
              <w:rPr>
                <w:rFonts w:hint="eastAsia" w:ascii="宋体" w:hAnsi="宋体" w:eastAsia="宋体" w:cs="宋体"/>
                <w:sz w:val="24"/>
                <w:szCs w:val="24"/>
              </w:rPr>
            </w:pPr>
            <w:r>
              <w:rPr>
                <w:rFonts w:hint="eastAsia" w:ascii="宋体" w:hAnsi="宋体" w:eastAsia="宋体" w:cs="宋体"/>
                <w:sz w:val="24"/>
                <w:szCs w:val="24"/>
              </w:rPr>
              <w:t>14</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22"/>
              <w:jc w:val="center"/>
              <w:rPr>
                <w:rFonts w:hint="eastAsia" w:ascii="宋体" w:hAnsi="宋体" w:eastAsia="宋体" w:cs="宋体"/>
                <w:sz w:val="24"/>
                <w:szCs w:val="24"/>
              </w:rPr>
            </w:pPr>
            <w:r>
              <w:rPr>
                <w:rFonts w:hint="eastAsia" w:ascii="宋体" w:hAnsi="宋体" w:eastAsia="宋体" w:cs="宋体"/>
                <w:sz w:val="24"/>
                <w:szCs w:val="24"/>
              </w:rPr>
              <w:t>供应商对采购文件提出质疑的时间采购人书面澄清的时间</w:t>
            </w:r>
          </w:p>
        </w:tc>
        <w:tc>
          <w:tcPr>
            <w:tcW w:w="7218" w:type="dxa"/>
            <w:tcBorders>
              <w:top w:val="single" w:color="000000" w:sz="2" w:space="0"/>
              <w:left w:val="single" w:color="000000" w:sz="2" w:space="0"/>
              <w:bottom w:val="single" w:color="000000" w:sz="2" w:space="0"/>
              <w:right w:val="single" w:color="000000" w:sz="2" w:space="0"/>
            </w:tcBorders>
          </w:tcPr>
          <w:p>
            <w:pPr>
              <w:pStyle w:val="42"/>
              <w:jc w:val="left"/>
              <w:rPr>
                <w:rFonts w:hint="eastAsia" w:ascii="宋体" w:hAnsi="宋体" w:eastAsia="宋体" w:cs="宋体"/>
                <w:sz w:val="24"/>
                <w:szCs w:val="24"/>
              </w:rPr>
            </w:pPr>
          </w:p>
          <w:p>
            <w:pPr>
              <w:pStyle w:val="42"/>
              <w:jc w:val="left"/>
              <w:rPr>
                <w:rFonts w:hint="eastAsia" w:ascii="宋体" w:hAnsi="宋体" w:eastAsia="宋体" w:cs="宋体"/>
                <w:sz w:val="24"/>
                <w:szCs w:val="24"/>
              </w:rPr>
            </w:pPr>
            <w:r>
              <w:rPr>
                <w:rFonts w:hint="eastAsia" w:ascii="宋体" w:hAnsi="宋体" w:eastAsia="宋体" w:cs="宋体"/>
                <w:sz w:val="24"/>
                <w:szCs w:val="24"/>
              </w:rPr>
              <w:t>递交投标文件的截止之日10日前自收到异议之日起3日内作出答复</w:t>
            </w:r>
          </w:p>
        </w:tc>
      </w:tr>
      <w:tr>
        <w:tblPrEx>
          <w:tblCellMar>
            <w:top w:w="0" w:type="dxa"/>
            <w:left w:w="0" w:type="dxa"/>
            <w:bottom w:w="0" w:type="dxa"/>
            <w:right w:w="0" w:type="dxa"/>
          </w:tblCellMar>
        </w:tblPrEx>
        <w:trPr>
          <w:trHeight w:val="96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5"/>
              <w:jc w:val="center"/>
              <w:rPr>
                <w:rFonts w:hint="eastAsia" w:ascii="宋体" w:hAnsi="宋体" w:eastAsia="宋体" w:cs="宋体"/>
                <w:sz w:val="24"/>
                <w:szCs w:val="24"/>
              </w:rPr>
            </w:pPr>
            <w:r>
              <w:rPr>
                <w:rFonts w:hint="eastAsia" w:ascii="宋体" w:hAnsi="宋体" w:eastAsia="宋体" w:cs="宋体"/>
                <w:sz w:val="24"/>
                <w:szCs w:val="24"/>
              </w:rPr>
              <w:t>15</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9"/>
              <w:jc w:val="center"/>
              <w:rPr>
                <w:rFonts w:hint="eastAsia" w:ascii="宋体" w:hAnsi="宋体" w:eastAsia="宋体" w:cs="宋体"/>
                <w:sz w:val="24"/>
                <w:szCs w:val="24"/>
              </w:rPr>
            </w:pPr>
            <w:r>
              <w:rPr>
                <w:rFonts w:hint="eastAsia" w:ascii="宋体" w:hAnsi="宋体" w:eastAsia="宋体" w:cs="宋体"/>
                <w:sz w:val="24"/>
                <w:szCs w:val="24"/>
              </w:rPr>
              <w:t>构成采购的其他材料</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99"/>
              <w:ind w:left="111"/>
              <w:jc w:val="left"/>
              <w:rPr>
                <w:rFonts w:hint="eastAsia" w:ascii="宋体" w:hAnsi="宋体" w:eastAsia="宋体" w:cs="宋体"/>
                <w:sz w:val="24"/>
                <w:szCs w:val="24"/>
              </w:rPr>
            </w:pPr>
            <w:r>
              <w:rPr>
                <w:rFonts w:hint="eastAsia" w:ascii="宋体" w:hAnsi="宋体" w:eastAsia="宋体" w:cs="宋体"/>
                <w:sz w:val="24"/>
                <w:szCs w:val="24"/>
              </w:rPr>
              <w:t>采购文件的补充文件（如有）</w:t>
            </w:r>
          </w:p>
        </w:tc>
      </w:tr>
      <w:tr>
        <w:tblPrEx>
          <w:tblCellMar>
            <w:top w:w="0" w:type="dxa"/>
            <w:left w:w="0" w:type="dxa"/>
            <w:bottom w:w="0" w:type="dxa"/>
            <w:right w:w="0" w:type="dxa"/>
          </w:tblCellMar>
        </w:tblPrEx>
        <w:trPr>
          <w:trHeight w:val="644"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85"/>
              <w:ind w:left="15"/>
              <w:jc w:val="center"/>
              <w:rPr>
                <w:rFonts w:hint="eastAsia" w:ascii="宋体" w:hAnsi="宋体" w:eastAsia="宋体" w:cs="宋体"/>
                <w:sz w:val="24"/>
                <w:szCs w:val="24"/>
              </w:rPr>
            </w:pPr>
            <w:r>
              <w:rPr>
                <w:rFonts w:hint="eastAsia" w:ascii="宋体" w:hAnsi="宋体" w:eastAsia="宋体" w:cs="宋体"/>
                <w:sz w:val="24"/>
                <w:szCs w:val="24"/>
              </w:rPr>
              <w:t>16</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85"/>
              <w:jc w:val="center"/>
              <w:rPr>
                <w:rFonts w:hint="eastAsia" w:ascii="宋体" w:hAnsi="宋体" w:eastAsia="宋体" w:cs="宋体"/>
                <w:sz w:val="24"/>
                <w:szCs w:val="24"/>
              </w:rPr>
            </w:pPr>
            <w:r>
              <w:rPr>
                <w:rFonts w:hint="eastAsia" w:ascii="宋体" w:hAnsi="宋体" w:eastAsia="宋体" w:cs="宋体"/>
                <w:spacing w:val="3"/>
                <w:sz w:val="24"/>
                <w:szCs w:val="24"/>
              </w:rPr>
              <w:t>投标保证金</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85"/>
              <w:ind w:left="111"/>
              <w:jc w:val="left"/>
              <w:rPr>
                <w:rFonts w:hint="eastAsia" w:ascii="宋体" w:hAnsi="宋体" w:eastAsia="宋体" w:cs="宋体"/>
                <w:sz w:val="24"/>
                <w:szCs w:val="24"/>
              </w:rPr>
            </w:pPr>
            <w:r>
              <w:rPr>
                <w:rFonts w:hint="eastAsia" w:ascii="宋体" w:hAnsi="宋体" w:eastAsia="宋体" w:cs="宋体"/>
                <w:w w:val="101"/>
                <w:sz w:val="24"/>
                <w:szCs w:val="24"/>
              </w:rPr>
              <w:t>无</w:t>
            </w:r>
          </w:p>
        </w:tc>
      </w:tr>
      <w:tr>
        <w:tblPrEx>
          <w:tblCellMar>
            <w:top w:w="0" w:type="dxa"/>
            <w:left w:w="0" w:type="dxa"/>
            <w:bottom w:w="0" w:type="dxa"/>
            <w:right w:w="0" w:type="dxa"/>
          </w:tblCellMar>
        </w:tblPrEx>
        <w:trPr>
          <w:trHeight w:val="1187"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70"/>
              <w:ind w:left="15"/>
              <w:jc w:val="center"/>
              <w:rPr>
                <w:rFonts w:hint="eastAsia" w:ascii="宋体" w:hAnsi="宋体" w:eastAsia="宋体" w:cs="宋体"/>
                <w:sz w:val="24"/>
                <w:szCs w:val="24"/>
              </w:rPr>
            </w:pPr>
            <w:r>
              <w:rPr>
                <w:rFonts w:hint="eastAsia" w:ascii="宋体" w:hAnsi="宋体" w:eastAsia="宋体" w:cs="宋体"/>
                <w:sz w:val="24"/>
                <w:szCs w:val="24"/>
              </w:rPr>
              <w:t>17</w:t>
            </w:r>
          </w:p>
        </w:tc>
        <w:tc>
          <w:tcPr>
            <w:tcW w:w="1911" w:type="dxa"/>
            <w:tcBorders>
              <w:top w:val="single" w:color="000000" w:sz="2" w:space="0"/>
              <w:left w:val="single" w:color="000000" w:sz="2" w:space="0"/>
              <w:bottom w:val="single" w:color="000000" w:sz="2" w:space="0"/>
              <w:right w:val="single" w:color="000000" w:sz="2" w:space="0"/>
            </w:tcBorders>
            <w:vAlign w:val="bottom"/>
          </w:tcPr>
          <w:p>
            <w:pPr>
              <w:pStyle w:val="39"/>
              <w:spacing w:line="240" w:lineRule="atLeast"/>
              <w:jc w:val="both"/>
              <w:rPr>
                <w:rFonts w:hint="eastAsia" w:ascii="宋体" w:hAnsi="宋体" w:eastAsia="宋体" w:cs="宋体"/>
                <w:color w:val="auto"/>
                <w:sz w:val="24"/>
                <w:szCs w:val="24"/>
              </w:rPr>
            </w:pPr>
            <w:r>
              <w:rPr>
                <w:rFonts w:hint="eastAsia" w:ascii="宋体" w:hAnsi="宋体" w:eastAsia="宋体" w:cs="宋体"/>
                <w:color w:val="auto"/>
                <w:sz w:val="24"/>
                <w:szCs w:val="24"/>
              </w:rPr>
              <w:t>签字或盖章要求</w:t>
            </w:r>
          </w:p>
          <w:p>
            <w:pPr>
              <w:pStyle w:val="39"/>
              <w:spacing w:line="240" w:lineRule="atLeast"/>
              <w:jc w:val="both"/>
              <w:rPr>
                <w:rFonts w:hint="eastAsia" w:ascii="宋体" w:hAnsi="宋体" w:eastAsia="宋体" w:cs="宋体"/>
                <w:color w:val="auto"/>
                <w:sz w:val="24"/>
                <w:szCs w:val="24"/>
              </w:rPr>
            </w:pPr>
          </w:p>
          <w:p>
            <w:pPr>
              <w:pStyle w:val="39"/>
              <w:spacing w:line="240" w:lineRule="atLeast"/>
              <w:jc w:val="both"/>
              <w:rPr>
                <w:rFonts w:hint="eastAsia" w:ascii="宋体" w:hAnsi="宋体" w:eastAsia="宋体" w:cs="宋体"/>
                <w:color w:val="auto"/>
                <w:sz w:val="24"/>
                <w:szCs w:val="24"/>
              </w:rPr>
            </w:pPr>
          </w:p>
        </w:tc>
        <w:tc>
          <w:tcPr>
            <w:tcW w:w="7218" w:type="dxa"/>
            <w:tcBorders>
              <w:top w:val="single" w:color="000000" w:sz="2" w:space="0"/>
              <w:left w:val="single" w:color="000000" w:sz="2" w:space="0"/>
              <w:bottom w:val="single" w:color="000000" w:sz="2" w:space="0"/>
              <w:right w:val="single" w:color="000000" w:sz="2" w:space="0"/>
            </w:tcBorders>
          </w:tcPr>
          <w:p>
            <w:pPr>
              <w:pStyle w:val="39"/>
              <w:spacing w:line="240" w:lineRule="atLeast"/>
              <w:jc w:val="both"/>
              <w:rPr>
                <w:rFonts w:hint="eastAsia" w:ascii="宋体" w:hAnsi="宋体" w:eastAsia="宋体" w:cs="宋体"/>
                <w:color w:val="auto"/>
                <w:sz w:val="24"/>
                <w:szCs w:val="24"/>
              </w:rPr>
            </w:pPr>
            <w:r>
              <w:rPr>
                <w:rFonts w:hint="eastAsia" w:ascii="宋体" w:hAnsi="宋体" w:eastAsia="宋体" w:cs="宋体"/>
                <w:color w:val="auto"/>
                <w:sz w:val="24"/>
                <w:szCs w:val="24"/>
              </w:rPr>
              <w:t>响应文件由法定代表人或其授权委托人签字并加盖单位公章，授权委托人签字的，其法定代表人授权委托书须由法定代表人签署；响应文件的签字或盖章均应符合采购文件要求。</w:t>
            </w:r>
          </w:p>
        </w:tc>
      </w:tr>
      <w:tr>
        <w:tblPrEx>
          <w:tblCellMar>
            <w:top w:w="0" w:type="dxa"/>
            <w:left w:w="0" w:type="dxa"/>
            <w:bottom w:w="0" w:type="dxa"/>
            <w:right w:w="0" w:type="dxa"/>
          </w:tblCellMar>
        </w:tblPrEx>
        <w:trPr>
          <w:trHeight w:val="1608"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00"/>
              <w:ind w:left="15"/>
              <w:jc w:val="center"/>
              <w:rPr>
                <w:rFonts w:hint="eastAsia" w:ascii="宋体" w:hAnsi="宋体" w:eastAsia="宋体" w:cs="宋体"/>
                <w:sz w:val="24"/>
                <w:szCs w:val="24"/>
              </w:rPr>
            </w:pPr>
            <w:r>
              <w:rPr>
                <w:rFonts w:hint="eastAsia" w:ascii="宋体" w:hAnsi="宋体" w:eastAsia="宋体" w:cs="宋体"/>
                <w:sz w:val="24"/>
                <w:szCs w:val="24"/>
              </w:rPr>
              <w:t>18</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00"/>
              <w:jc w:val="center"/>
              <w:rPr>
                <w:rFonts w:hint="eastAsia" w:ascii="宋体" w:hAnsi="宋体" w:eastAsia="宋体" w:cs="宋体"/>
                <w:sz w:val="24"/>
                <w:szCs w:val="24"/>
              </w:rPr>
            </w:pPr>
            <w:r>
              <w:rPr>
                <w:rFonts w:hint="eastAsia" w:ascii="宋体" w:hAnsi="宋体" w:eastAsia="宋体" w:cs="宋体"/>
                <w:spacing w:val="2"/>
                <w:sz w:val="24"/>
                <w:szCs w:val="24"/>
              </w:rPr>
              <w:t>响应文件份数</w:t>
            </w:r>
          </w:p>
        </w:tc>
        <w:tc>
          <w:tcPr>
            <w:tcW w:w="7218" w:type="dxa"/>
            <w:tcBorders>
              <w:top w:val="single" w:color="000000" w:sz="2" w:space="0"/>
              <w:left w:val="single" w:color="000000" w:sz="2" w:space="0"/>
              <w:bottom w:val="single" w:color="000000" w:sz="2" w:space="0"/>
              <w:right w:val="single" w:color="000000" w:sz="2" w:space="0"/>
            </w:tcBorders>
          </w:tcPr>
          <w:p>
            <w:pPr>
              <w:pStyle w:val="39"/>
              <w:keepNext w:val="0"/>
              <w:keepLines w:val="0"/>
              <w:pageBreakBefore w:val="0"/>
              <w:widowControl w:val="0"/>
              <w:kinsoku/>
              <w:wordWrap/>
              <w:overflowPunct/>
              <w:topLinePunct w:val="0"/>
              <w:bidi w:val="0"/>
              <w:snapToGrid/>
              <w:spacing w:line="2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加密上传电子投标文件一份：成功上传至《全国公共资源交易平台（河南省·睢县）》公共资源交易系统加密电子投标文件1份（文件格式为：XXX公司XXX项目编号.file）。使用电子介质存储的备份文件1份（文件格式为：名称为“备份“的文件夹）。</w:t>
            </w:r>
          </w:p>
          <w:p>
            <w:pPr>
              <w:pStyle w:val="42"/>
              <w:keepNext w:val="0"/>
              <w:keepLines w:val="0"/>
              <w:pageBreakBefore w:val="0"/>
              <w:widowControl w:val="0"/>
              <w:kinsoku/>
              <w:wordWrap/>
              <w:overflowPunct/>
              <w:topLinePunct w:val="0"/>
              <w:bidi w:val="0"/>
              <w:snapToGrid/>
              <w:spacing w:before="59" w:line="240" w:lineRule="exact"/>
              <w:ind w:left="111"/>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注：投标人自行承担因上传错误、无法正常打开投标文件或投标文件上传不完整的后果。</w:t>
            </w:r>
          </w:p>
        </w:tc>
      </w:tr>
      <w:tr>
        <w:tblPrEx>
          <w:tblCellMar>
            <w:top w:w="0" w:type="dxa"/>
            <w:left w:w="0" w:type="dxa"/>
            <w:bottom w:w="0" w:type="dxa"/>
            <w:right w:w="0" w:type="dxa"/>
          </w:tblCellMar>
        </w:tblPrEx>
        <w:trPr>
          <w:trHeight w:val="66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27"/>
              <w:ind w:left="15"/>
              <w:jc w:val="center"/>
              <w:rPr>
                <w:rFonts w:hint="eastAsia" w:ascii="宋体" w:hAnsi="宋体" w:eastAsia="宋体" w:cs="宋体"/>
                <w:sz w:val="24"/>
                <w:szCs w:val="24"/>
              </w:rPr>
            </w:pPr>
            <w:r>
              <w:rPr>
                <w:rFonts w:hint="eastAsia" w:ascii="宋体" w:hAnsi="宋体" w:eastAsia="宋体" w:cs="宋体"/>
                <w:sz w:val="24"/>
                <w:szCs w:val="24"/>
              </w:rPr>
              <w:t>19</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27"/>
              <w:jc w:val="center"/>
              <w:rPr>
                <w:rFonts w:hint="eastAsia" w:ascii="宋体" w:hAnsi="宋体" w:eastAsia="宋体" w:cs="宋体"/>
                <w:sz w:val="24"/>
                <w:szCs w:val="24"/>
              </w:rPr>
            </w:pPr>
            <w:r>
              <w:rPr>
                <w:rFonts w:hint="eastAsia" w:ascii="宋体" w:hAnsi="宋体" w:eastAsia="宋体" w:cs="宋体"/>
                <w:sz w:val="24"/>
                <w:szCs w:val="24"/>
              </w:rPr>
              <w:t>是否退还响应文件</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11"/>
              <w:jc w:val="left"/>
              <w:rPr>
                <w:rFonts w:hint="eastAsia" w:ascii="宋体" w:hAnsi="宋体" w:eastAsia="宋体" w:cs="宋体"/>
                <w:sz w:val="24"/>
                <w:szCs w:val="24"/>
              </w:rPr>
            </w:pPr>
          </w:p>
          <w:p>
            <w:pPr>
              <w:pStyle w:val="42"/>
              <w:ind w:left="111"/>
              <w:jc w:val="left"/>
              <w:rPr>
                <w:rFonts w:hint="eastAsia" w:ascii="宋体" w:hAnsi="宋体" w:eastAsia="宋体" w:cs="宋体"/>
                <w:sz w:val="24"/>
                <w:szCs w:val="24"/>
              </w:rPr>
            </w:pPr>
            <w:r>
              <w:rPr>
                <w:rFonts w:hint="eastAsia" w:ascii="宋体" w:hAnsi="宋体" w:eastAsia="宋体" w:cs="宋体"/>
                <w:w w:val="101"/>
                <w:sz w:val="24"/>
                <w:szCs w:val="24"/>
              </w:rPr>
              <w:t>否</w:t>
            </w:r>
          </w:p>
        </w:tc>
      </w:tr>
      <w:tr>
        <w:tblPrEx>
          <w:tblCellMar>
            <w:top w:w="0" w:type="dxa"/>
            <w:left w:w="0" w:type="dxa"/>
            <w:bottom w:w="0" w:type="dxa"/>
            <w:right w:w="0" w:type="dxa"/>
          </w:tblCellMar>
        </w:tblPrEx>
        <w:trPr>
          <w:trHeight w:val="77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5"/>
              <w:jc w:val="center"/>
              <w:rPr>
                <w:rFonts w:hint="eastAsia" w:ascii="宋体" w:hAnsi="宋体" w:eastAsia="宋体" w:cs="宋体"/>
                <w:sz w:val="24"/>
                <w:szCs w:val="24"/>
              </w:rPr>
            </w:pPr>
            <w:r>
              <w:rPr>
                <w:rFonts w:hint="eastAsia" w:ascii="宋体" w:hAnsi="宋体" w:eastAsia="宋体" w:cs="宋体"/>
                <w:sz w:val="24"/>
                <w:szCs w:val="24"/>
              </w:rPr>
              <w:t>20</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07"/>
              <w:jc w:val="center"/>
              <w:rPr>
                <w:rFonts w:hint="eastAsia" w:ascii="宋体" w:hAnsi="宋体" w:eastAsia="宋体" w:cs="宋体"/>
                <w:sz w:val="24"/>
                <w:szCs w:val="24"/>
              </w:rPr>
            </w:pPr>
            <w:r>
              <w:rPr>
                <w:rFonts w:hint="eastAsia" w:ascii="宋体" w:hAnsi="宋体" w:eastAsia="宋体" w:cs="宋体"/>
                <w:sz w:val="24"/>
                <w:szCs w:val="24"/>
              </w:rPr>
              <w:t>响应文件递交截止时间</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107"/>
              <w:ind w:left="111"/>
              <w:jc w:val="left"/>
              <w:rPr>
                <w:rFonts w:hint="eastAsia" w:ascii="宋体" w:hAnsi="宋体" w:eastAsia="宋体" w:cs="宋体"/>
                <w:sz w:val="24"/>
                <w:szCs w:val="24"/>
              </w:rPr>
            </w:pPr>
            <w:r>
              <w:rPr>
                <w:rFonts w:hint="eastAsia" w:ascii="宋体" w:hAnsi="宋体" w:eastAsia="宋体" w:cs="宋体"/>
                <w:sz w:val="24"/>
                <w:szCs w:val="24"/>
              </w:rPr>
              <w:t>详见公告</w:t>
            </w:r>
          </w:p>
        </w:tc>
      </w:tr>
      <w:tr>
        <w:tblPrEx>
          <w:tblCellMar>
            <w:top w:w="0" w:type="dxa"/>
            <w:left w:w="0" w:type="dxa"/>
            <w:bottom w:w="0" w:type="dxa"/>
            <w:right w:w="0" w:type="dxa"/>
          </w:tblCellMar>
        </w:tblPrEx>
        <w:trPr>
          <w:trHeight w:val="84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ind w:left="15"/>
              <w:jc w:val="center"/>
              <w:rPr>
                <w:rFonts w:hint="eastAsia" w:ascii="宋体" w:hAnsi="宋体" w:eastAsia="宋体" w:cs="宋体"/>
                <w:sz w:val="24"/>
                <w:szCs w:val="24"/>
              </w:rPr>
            </w:pPr>
            <w:r>
              <w:rPr>
                <w:rFonts w:hint="eastAsia" w:ascii="宋体" w:hAnsi="宋体" w:eastAsia="宋体" w:cs="宋体"/>
                <w:sz w:val="24"/>
                <w:szCs w:val="24"/>
              </w:rPr>
              <w:t>21</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07"/>
              <w:jc w:val="center"/>
              <w:rPr>
                <w:rFonts w:hint="eastAsia" w:ascii="宋体" w:hAnsi="宋体" w:eastAsia="宋体" w:cs="宋体"/>
                <w:sz w:val="24"/>
                <w:szCs w:val="24"/>
              </w:rPr>
            </w:pPr>
            <w:r>
              <w:rPr>
                <w:rFonts w:hint="eastAsia" w:ascii="宋体" w:hAnsi="宋体" w:eastAsia="宋体" w:cs="宋体"/>
                <w:sz w:val="24"/>
                <w:szCs w:val="24"/>
              </w:rPr>
              <w:t>响应文件递交地点</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107"/>
              <w:ind w:left="111"/>
              <w:jc w:val="left"/>
              <w:rPr>
                <w:rFonts w:hint="eastAsia" w:ascii="宋体" w:hAnsi="宋体" w:eastAsia="宋体" w:cs="宋体"/>
                <w:sz w:val="24"/>
                <w:szCs w:val="24"/>
              </w:rPr>
            </w:pPr>
            <w:r>
              <w:rPr>
                <w:rFonts w:hint="eastAsia" w:ascii="宋体" w:hAnsi="宋体" w:eastAsia="宋体" w:cs="宋体"/>
                <w:sz w:val="24"/>
                <w:szCs w:val="24"/>
              </w:rPr>
              <w:t>详见公告</w:t>
            </w:r>
          </w:p>
        </w:tc>
      </w:tr>
      <w:tr>
        <w:tblPrEx>
          <w:tblCellMar>
            <w:top w:w="0" w:type="dxa"/>
            <w:left w:w="0" w:type="dxa"/>
            <w:bottom w:w="0" w:type="dxa"/>
            <w:right w:w="0" w:type="dxa"/>
          </w:tblCellMar>
        </w:tblPrEx>
        <w:trPr>
          <w:trHeight w:val="1012"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99"/>
              <w:jc w:val="both"/>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1911" w:type="dxa"/>
            <w:tcBorders>
              <w:top w:val="single" w:color="000000" w:sz="2" w:space="0"/>
              <w:left w:val="single" w:color="000000" w:sz="2" w:space="0"/>
              <w:bottom w:val="single" w:color="000000" w:sz="2" w:space="0"/>
              <w:right w:val="single" w:color="000000" w:sz="2" w:space="0"/>
            </w:tcBorders>
            <w:vAlign w:val="center"/>
          </w:tcPr>
          <w:p>
            <w:pPr>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响应文件中外提交的</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其他资料</w:t>
            </w:r>
          </w:p>
        </w:tc>
        <w:tc>
          <w:tcPr>
            <w:tcW w:w="7218" w:type="dxa"/>
            <w:tcBorders>
              <w:top w:val="single" w:color="000000" w:sz="2" w:space="0"/>
              <w:left w:val="single" w:color="000000" w:sz="2" w:space="0"/>
              <w:bottom w:val="single" w:color="000000" w:sz="2" w:space="0"/>
              <w:right w:val="single" w:color="000000" w:sz="2" w:space="0"/>
            </w:tcBorders>
            <w:vAlign w:val="center"/>
          </w:tcPr>
          <w:p>
            <w:pPr>
              <w:pStyle w:val="42"/>
              <w:spacing w:before="10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0" w:type="dxa"/>
            <w:bottom w:w="0" w:type="dxa"/>
            <w:right w:w="0" w:type="dxa"/>
          </w:tblCellMar>
        </w:tblPrEx>
        <w:trPr>
          <w:trHeight w:val="1249"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2"/>
              <w:jc w:val="center"/>
              <w:rPr>
                <w:rFonts w:hint="eastAsia" w:ascii="宋体" w:hAnsi="宋体" w:eastAsia="宋体" w:cs="宋体"/>
                <w:sz w:val="24"/>
                <w:szCs w:val="24"/>
              </w:rPr>
            </w:pPr>
          </w:p>
          <w:p>
            <w:pPr>
              <w:pStyle w:val="42"/>
              <w:ind w:left="15"/>
              <w:jc w:val="center"/>
              <w:rPr>
                <w:rFonts w:hint="eastAsia" w:ascii="宋体" w:hAnsi="宋体" w:eastAsia="宋体" w:cs="宋体"/>
                <w:sz w:val="24"/>
                <w:szCs w:val="24"/>
              </w:rPr>
            </w:pPr>
            <w:r>
              <w:rPr>
                <w:rFonts w:hint="eastAsia" w:ascii="宋体" w:hAnsi="宋体" w:eastAsia="宋体" w:cs="宋体"/>
                <w:sz w:val="24"/>
                <w:szCs w:val="24"/>
              </w:rPr>
              <w:t>23</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jc w:val="center"/>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7218" w:type="dxa"/>
            <w:tcBorders>
              <w:top w:val="single" w:color="000000" w:sz="2" w:space="0"/>
              <w:left w:val="single" w:color="000000" w:sz="2" w:space="0"/>
              <w:bottom w:val="single" w:color="000000" w:sz="2" w:space="0"/>
              <w:right w:val="single" w:color="000000" w:sz="2" w:space="0"/>
            </w:tcBorders>
          </w:tcPr>
          <w:p>
            <w:pPr>
              <w:pStyle w:val="42"/>
              <w:spacing w:line="264" w:lineRule="exact"/>
              <w:ind w:left="111" w:right="-6"/>
              <w:jc w:val="left"/>
              <w:rPr>
                <w:rFonts w:hint="eastAsia" w:ascii="宋体" w:hAnsi="宋体" w:eastAsia="宋体" w:cs="宋体"/>
                <w:sz w:val="24"/>
                <w:szCs w:val="24"/>
              </w:rPr>
            </w:pPr>
          </w:p>
          <w:p>
            <w:pPr>
              <w:pStyle w:val="42"/>
              <w:spacing w:line="264" w:lineRule="exact"/>
              <w:ind w:left="111" w:right="-6"/>
              <w:jc w:val="left"/>
              <w:rPr>
                <w:rFonts w:hint="eastAsia" w:ascii="宋体" w:hAnsi="宋体" w:eastAsia="宋体" w:cs="宋体"/>
                <w:sz w:val="24"/>
                <w:szCs w:val="24"/>
              </w:rPr>
            </w:pPr>
            <w:r>
              <w:rPr>
                <w:rFonts w:hint="eastAsia" w:ascii="宋体" w:hAnsi="宋体" w:eastAsia="宋体" w:cs="宋体"/>
                <w:sz w:val="24"/>
                <w:szCs w:val="24"/>
              </w:rPr>
              <w:t>评标委员会由</w:t>
            </w:r>
            <w:r>
              <w:rPr>
                <w:rFonts w:hint="eastAsia" w:ascii="宋体" w:hAnsi="宋体" w:cs="宋体"/>
                <w:sz w:val="24"/>
                <w:szCs w:val="24"/>
                <w:u w:val="single" w:color="000000"/>
                <w:lang w:val="en-US" w:eastAsia="zh-CN"/>
              </w:rPr>
              <w:t>5</w:t>
            </w:r>
            <w:r>
              <w:rPr>
                <w:rFonts w:hint="eastAsia" w:ascii="宋体" w:hAnsi="宋体" w:eastAsia="宋体" w:cs="宋体"/>
                <w:spacing w:val="-5"/>
                <w:sz w:val="24"/>
                <w:szCs w:val="24"/>
              </w:rPr>
              <w:t>人组成，其中采购人代表</w:t>
            </w:r>
            <w:r>
              <w:rPr>
                <w:rFonts w:hint="eastAsia" w:ascii="宋体" w:hAnsi="宋体" w:cs="宋体"/>
                <w:spacing w:val="-26"/>
                <w:sz w:val="24"/>
                <w:szCs w:val="24"/>
                <w:u w:val="single"/>
                <w:lang w:val="en-US" w:eastAsia="zh-CN"/>
              </w:rPr>
              <w:t>1</w:t>
            </w:r>
            <w:r>
              <w:rPr>
                <w:rFonts w:hint="eastAsia" w:ascii="宋体" w:hAnsi="宋体" w:eastAsia="宋体" w:cs="宋体"/>
                <w:spacing w:val="-11"/>
                <w:sz w:val="24"/>
                <w:szCs w:val="24"/>
              </w:rPr>
              <w:t>人，相关经济、</w:t>
            </w:r>
          </w:p>
          <w:p>
            <w:pPr>
              <w:pStyle w:val="42"/>
              <w:spacing w:before="19" w:line="256" w:lineRule="auto"/>
              <w:ind w:left="111" w:right="96"/>
              <w:jc w:val="left"/>
              <w:rPr>
                <w:rFonts w:hint="eastAsia" w:ascii="宋体" w:hAnsi="宋体" w:eastAsia="宋体" w:cs="宋体"/>
                <w:sz w:val="24"/>
                <w:szCs w:val="24"/>
              </w:rPr>
            </w:pPr>
            <w:r>
              <w:rPr>
                <w:rFonts w:hint="eastAsia" w:ascii="宋体" w:hAnsi="宋体" w:eastAsia="宋体" w:cs="宋体"/>
                <w:sz w:val="24"/>
                <w:szCs w:val="24"/>
              </w:rPr>
              <w:t>技术专家</w:t>
            </w:r>
            <w:r>
              <w:rPr>
                <w:rFonts w:hint="eastAsia" w:ascii="宋体" w:hAnsi="宋体" w:cs="宋体"/>
                <w:sz w:val="24"/>
                <w:szCs w:val="24"/>
                <w:u w:val="single" w:color="000000"/>
                <w:lang w:val="en-US" w:eastAsia="zh-CN"/>
              </w:rPr>
              <w:t>4</w:t>
            </w:r>
            <w:r>
              <w:rPr>
                <w:rFonts w:hint="eastAsia" w:ascii="宋体" w:hAnsi="宋体" w:eastAsia="宋体" w:cs="宋体"/>
                <w:sz w:val="24"/>
                <w:szCs w:val="24"/>
              </w:rPr>
              <w:t>人；评标委员会成员确定方式：由采购人代表在监督人的监督下从相关专家库中随机抽取</w:t>
            </w:r>
          </w:p>
        </w:tc>
      </w:tr>
      <w:tr>
        <w:tblPrEx>
          <w:tblCellMar>
            <w:top w:w="0" w:type="dxa"/>
            <w:left w:w="0" w:type="dxa"/>
            <w:bottom w:w="0" w:type="dxa"/>
            <w:right w:w="0" w:type="dxa"/>
          </w:tblCellMar>
        </w:tblPrEx>
        <w:trPr>
          <w:trHeight w:val="1294"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4"/>
              <w:jc w:val="center"/>
              <w:rPr>
                <w:rFonts w:hint="eastAsia" w:ascii="宋体" w:hAnsi="宋体" w:eastAsia="宋体" w:cs="宋体"/>
                <w:sz w:val="24"/>
                <w:szCs w:val="24"/>
              </w:rPr>
            </w:pPr>
          </w:p>
          <w:p>
            <w:pPr>
              <w:pStyle w:val="42"/>
              <w:ind w:left="15"/>
              <w:jc w:val="center"/>
              <w:rPr>
                <w:rFonts w:hint="eastAsia" w:ascii="宋体" w:hAnsi="宋体" w:eastAsia="宋体" w:cs="宋体"/>
                <w:sz w:val="24"/>
                <w:szCs w:val="24"/>
              </w:rPr>
            </w:pPr>
            <w:r>
              <w:rPr>
                <w:rFonts w:hint="eastAsia" w:ascii="宋体" w:hAnsi="宋体" w:eastAsia="宋体" w:cs="宋体"/>
                <w:sz w:val="24"/>
                <w:szCs w:val="24"/>
              </w:rPr>
              <w:t>24</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123"/>
              <w:jc w:val="center"/>
              <w:rPr>
                <w:rFonts w:hint="eastAsia" w:ascii="宋体" w:hAnsi="宋体" w:eastAsia="宋体" w:cs="宋体"/>
                <w:sz w:val="24"/>
                <w:szCs w:val="24"/>
              </w:rPr>
            </w:pPr>
            <w:r>
              <w:rPr>
                <w:rFonts w:hint="eastAsia" w:ascii="宋体" w:hAnsi="宋体" w:eastAsia="宋体" w:cs="宋体"/>
                <w:sz w:val="24"/>
                <w:szCs w:val="24"/>
              </w:rPr>
              <w:t>是否授权评标委员会确定</w:t>
            </w:r>
            <w:r>
              <w:rPr>
                <w:rFonts w:hint="eastAsia" w:ascii="宋体" w:hAnsi="宋体" w:eastAsia="宋体" w:cs="宋体"/>
                <w:spacing w:val="3"/>
                <w:sz w:val="24"/>
                <w:szCs w:val="24"/>
              </w:rPr>
              <w:t>中标人</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10"/>
              <w:jc w:val="left"/>
              <w:rPr>
                <w:rFonts w:hint="eastAsia" w:ascii="宋体" w:hAnsi="宋体" w:eastAsia="宋体" w:cs="宋体"/>
                <w:sz w:val="24"/>
                <w:szCs w:val="24"/>
              </w:rPr>
            </w:pPr>
          </w:p>
          <w:p>
            <w:pPr>
              <w:pStyle w:val="42"/>
              <w:ind w:left="111"/>
              <w:jc w:val="left"/>
              <w:rPr>
                <w:rFonts w:hint="eastAsia" w:ascii="宋体" w:hAnsi="宋体" w:eastAsia="宋体" w:cs="宋体"/>
                <w:sz w:val="24"/>
                <w:szCs w:val="24"/>
              </w:rPr>
            </w:pPr>
            <w:r>
              <w:rPr>
                <w:rFonts w:hint="eastAsia" w:ascii="宋体" w:hAnsi="宋体" w:eastAsia="宋体" w:cs="宋体"/>
                <w:sz w:val="24"/>
                <w:szCs w:val="24"/>
              </w:rPr>
              <w:t>否，推荐的中标候选人数：</w:t>
            </w:r>
            <w:r>
              <w:rPr>
                <w:rFonts w:hint="eastAsia" w:ascii="宋体" w:hAnsi="宋体" w:eastAsia="宋体" w:cs="宋体"/>
                <w:sz w:val="24"/>
                <w:szCs w:val="24"/>
                <w:u w:val="single" w:color="000000"/>
              </w:rPr>
              <w:t>1--3名</w:t>
            </w:r>
          </w:p>
        </w:tc>
      </w:tr>
      <w:tr>
        <w:tblPrEx>
          <w:tblCellMar>
            <w:top w:w="0" w:type="dxa"/>
            <w:left w:w="0" w:type="dxa"/>
            <w:bottom w:w="0" w:type="dxa"/>
            <w:right w:w="0" w:type="dxa"/>
          </w:tblCellMar>
        </w:tblPrEx>
        <w:trPr>
          <w:trHeight w:val="1316"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spacing w:before="10"/>
              <w:jc w:val="center"/>
              <w:rPr>
                <w:rFonts w:hint="eastAsia" w:ascii="宋体" w:hAnsi="宋体" w:eastAsia="宋体" w:cs="宋体"/>
                <w:sz w:val="24"/>
                <w:szCs w:val="24"/>
              </w:rPr>
            </w:pPr>
          </w:p>
          <w:p>
            <w:pPr>
              <w:pStyle w:val="42"/>
              <w:ind w:left="15"/>
              <w:jc w:val="center"/>
              <w:rPr>
                <w:rFonts w:hint="eastAsia" w:ascii="宋体" w:hAnsi="宋体" w:eastAsia="宋体" w:cs="宋体"/>
                <w:sz w:val="24"/>
                <w:szCs w:val="24"/>
              </w:rPr>
            </w:pPr>
            <w:r>
              <w:rPr>
                <w:rFonts w:hint="eastAsia" w:ascii="宋体" w:hAnsi="宋体" w:eastAsia="宋体" w:cs="宋体"/>
                <w:sz w:val="24"/>
                <w:szCs w:val="24"/>
              </w:rPr>
              <w:t>25</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3"/>
              <w:jc w:val="center"/>
              <w:rPr>
                <w:rFonts w:hint="eastAsia" w:ascii="宋体" w:hAnsi="宋体" w:eastAsia="宋体" w:cs="宋体"/>
                <w:sz w:val="24"/>
                <w:szCs w:val="24"/>
              </w:rPr>
            </w:pPr>
            <w:r>
              <w:rPr>
                <w:rFonts w:hint="eastAsia" w:ascii="宋体" w:hAnsi="宋体" w:eastAsia="宋体" w:cs="宋体"/>
                <w:spacing w:val="8"/>
                <w:sz w:val="24"/>
                <w:szCs w:val="24"/>
              </w:rPr>
              <w:t>近年完成的类似项目的年</w:t>
            </w:r>
            <w:r>
              <w:rPr>
                <w:rFonts w:hint="eastAsia" w:ascii="宋体" w:hAnsi="宋体" w:eastAsia="宋体" w:cs="宋体"/>
                <w:spacing w:val="3"/>
                <w:sz w:val="24"/>
                <w:szCs w:val="24"/>
              </w:rPr>
              <w:t>份要求</w:t>
            </w:r>
          </w:p>
        </w:tc>
        <w:tc>
          <w:tcPr>
            <w:tcW w:w="7218" w:type="dxa"/>
            <w:tcBorders>
              <w:top w:val="single" w:color="000000" w:sz="2" w:space="0"/>
              <w:left w:val="single" w:color="000000" w:sz="2" w:space="0"/>
              <w:bottom w:val="single" w:color="000000" w:sz="2" w:space="0"/>
              <w:right w:val="single" w:color="000000" w:sz="2" w:space="0"/>
            </w:tcBorders>
          </w:tcPr>
          <w:p>
            <w:pPr>
              <w:pStyle w:val="42"/>
              <w:spacing w:before="4"/>
              <w:jc w:val="left"/>
              <w:rPr>
                <w:rFonts w:hint="eastAsia" w:ascii="宋体" w:hAnsi="宋体" w:eastAsia="宋体" w:cs="宋体"/>
                <w:sz w:val="24"/>
                <w:szCs w:val="24"/>
              </w:rPr>
            </w:pPr>
          </w:p>
          <w:p>
            <w:pPr>
              <w:pStyle w:val="42"/>
              <w:ind w:left="111"/>
              <w:jc w:val="left"/>
              <w:rPr>
                <w:rFonts w:hint="eastAsia" w:ascii="宋体" w:hAnsi="宋体" w:eastAsia="宋体" w:cs="宋体"/>
                <w:sz w:val="24"/>
                <w:szCs w:val="24"/>
              </w:rPr>
            </w:pPr>
            <w:r>
              <w:rPr>
                <w:rFonts w:hint="eastAsia" w:ascii="宋体" w:hAnsi="宋体" w:eastAsia="宋体" w:cs="宋体"/>
                <w:sz w:val="24"/>
                <w:szCs w:val="24"/>
              </w:rPr>
              <w:t>指</w:t>
            </w:r>
            <w:r>
              <w:rPr>
                <w:rFonts w:hint="eastAsia" w:ascii="宋体" w:hAnsi="宋体" w:eastAsia="宋体" w:cs="宋体"/>
                <w:spacing w:val="2"/>
                <w:sz w:val="24"/>
                <w:szCs w:val="24"/>
              </w:rPr>
              <w:t>201</w:t>
            </w:r>
            <w:r>
              <w:rPr>
                <w:rFonts w:hint="eastAsia" w:ascii="宋体" w:hAnsi="宋体" w:eastAsia="宋体" w:cs="宋体"/>
                <w:spacing w:val="2"/>
                <w:sz w:val="24"/>
                <w:szCs w:val="24"/>
                <w:lang w:val="en-US" w:eastAsia="zh-CN"/>
              </w:rPr>
              <w:t>9</w:t>
            </w:r>
            <w:r>
              <w:rPr>
                <w:rFonts w:hint="eastAsia" w:ascii="宋体" w:hAnsi="宋体" w:eastAsia="宋体" w:cs="宋体"/>
                <w:sz w:val="24"/>
                <w:szCs w:val="24"/>
              </w:rPr>
              <w:t>年1月1</w:t>
            </w:r>
            <w:r>
              <w:rPr>
                <w:rFonts w:hint="eastAsia" w:ascii="宋体" w:hAnsi="宋体" w:eastAsia="宋体" w:cs="宋体"/>
                <w:spacing w:val="6"/>
                <w:sz w:val="24"/>
                <w:szCs w:val="24"/>
              </w:rPr>
              <w:t>日至今</w:t>
            </w:r>
          </w:p>
        </w:tc>
      </w:tr>
      <w:tr>
        <w:tblPrEx>
          <w:tblCellMar>
            <w:top w:w="0" w:type="dxa"/>
            <w:left w:w="0" w:type="dxa"/>
            <w:bottom w:w="0" w:type="dxa"/>
            <w:right w:w="0" w:type="dxa"/>
          </w:tblCellMar>
        </w:tblPrEx>
        <w:trPr>
          <w:trHeight w:val="1163"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ind w:left="15"/>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3"/>
              <w:jc w:val="both"/>
              <w:rPr>
                <w:rFonts w:hint="eastAsia" w:ascii="宋体" w:hAnsi="宋体" w:eastAsia="宋体" w:cs="宋体"/>
                <w:spacing w:val="3"/>
                <w:sz w:val="24"/>
                <w:szCs w:val="24"/>
              </w:rPr>
            </w:pPr>
            <w:r>
              <w:rPr>
                <w:rFonts w:hint="eastAsia" w:ascii="宋体" w:hAnsi="宋体" w:eastAsia="宋体" w:cs="宋体"/>
                <w:sz w:val="24"/>
                <w:szCs w:val="24"/>
              </w:rPr>
              <w:t>采购代理服务费</w:t>
            </w:r>
          </w:p>
        </w:tc>
        <w:tc>
          <w:tcPr>
            <w:tcW w:w="7218" w:type="dxa"/>
            <w:tcBorders>
              <w:top w:val="single" w:color="000000" w:sz="2" w:space="0"/>
              <w:left w:val="single" w:color="000000" w:sz="2" w:space="0"/>
              <w:bottom w:val="single" w:color="000000" w:sz="2" w:space="0"/>
              <w:right w:val="single" w:color="000000" w:sz="2" w:space="0"/>
            </w:tcBorders>
          </w:tcPr>
          <w:p>
            <w:pPr>
              <w:pStyle w:val="42"/>
              <w:ind w:left="111"/>
              <w:jc w:val="left"/>
              <w:rPr>
                <w:rFonts w:hint="eastAsia" w:ascii="宋体" w:hAnsi="宋体" w:eastAsia="宋体" w:cs="宋体"/>
                <w:sz w:val="24"/>
                <w:szCs w:val="24"/>
              </w:rPr>
            </w:pPr>
            <w:r>
              <w:rPr>
                <w:rFonts w:hint="eastAsia" w:ascii="宋体" w:hAnsi="宋体" w:eastAsia="宋体" w:cs="宋体"/>
                <w:sz w:val="24"/>
                <w:szCs w:val="24"/>
              </w:rPr>
              <w:t>采购代理服务费由成交供应商按中标价参考计价格【2002】1980号及发改办【2003】857 号文件由成交供应商支付。以上费用由供应商综合考虑到报价中，不再单独列项。</w:t>
            </w:r>
          </w:p>
        </w:tc>
      </w:tr>
      <w:tr>
        <w:tblPrEx>
          <w:tblCellMar>
            <w:top w:w="0" w:type="dxa"/>
            <w:left w:w="0" w:type="dxa"/>
            <w:bottom w:w="0" w:type="dxa"/>
            <w:right w:w="0" w:type="dxa"/>
          </w:tblCellMar>
        </w:tblPrEx>
        <w:trPr>
          <w:trHeight w:val="1130"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ind w:left="15"/>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3"/>
              <w:spacing w:line="380" w:lineRule="exact"/>
              <w:jc w:val="both"/>
              <w:rPr>
                <w:rFonts w:hint="eastAsia" w:ascii="宋体" w:hAnsi="宋体" w:eastAsia="宋体" w:cs="宋体"/>
                <w:sz w:val="24"/>
                <w:szCs w:val="24"/>
                <w:lang w:val="zh-CN"/>
              </w:rPr>
            </w:pPr>
            <w:r>
              <w:rPr>
                <w:rFonts w:hint="eastAsia" w:ascii="宋体" w:hAnsi="宋体" w:eastAsia="宋体" w:cs="宋体"/>
                <w:sz w:val="24"/>
                <w:szCs w:val="24"/>
                <w:lang w:val="zh-CN"/>
              </w:rPr>
              <w:t>本次招标项目</w:t>
            </w:r>
          </w:p>
          <w:p>
            <w:pPr>
              <w:pStyle w:val="42"/>
              <w:spacing w:before="93"/>
              <w:ind w:left="110"/>
              <w:jc w:val="both"/>
              <w:rPr>
                <w:rFonts w:hint="eastAsia" w:ascii="宋体" w:hAnsi="宋体" w:eastAsia="宋体" w:cs="宋体"/>
                <w:sz w:val="24"/>
                <w:szCs w:val="24"/>
              </w:rPr>
            </w:pPr>
            <w:r>
              <w:rPr>
                <w:rFonts w:hint="eastAsia" w:ascii="宋体" w:hAnsi="宋体" w:eastAsia="宋体" w:cs="宋体"/>
                <w:sz w:val="24"/>
                <w:szCs w:val="24"/>
                <w:lang w:val="zh-CN"/>
              </w:rPr>
              <w:t>行政监督部门</w:t>
            </w:r>
          </w:p>
        </w:tc>
        <w:tc>
          <w:tcPr>
            <w:tcW w:w="7218" w:type="dxa"/>
            <w:tcBorders>
              <w:top w:val="single" w:color="000000" w:sz="2" w:space="0"/>
              <w:left w:val="single" w:color="000000" w:sz="2" w:space="0"/>
              <w:bottom w:val="single" w:color="000000" w:sz="2" w:space="0"/>
              <w:right w:val="single" w:color="000000" w:sz="2" w:space="0"/>
            </w:tcBorders>
            <w:vAlign w:val="center"/>
          </w:tcPr>
          <w:p>
            <w:pPr>
              <w:pStyle w:val="42"/>
              <w:ind w:left="111"/>
              <w:jc w:val="center"/>
              <w:rPr>
                <w:rFonts w:hint="eastAsia" w:ascii="宋体" w:hAnsi="宋体" w:eastAsia="宋体" w:cs="宋体"/>
                <w:sz w:val="24"/>
                <w:szCs w:val="24"/>
              </w:rPr>
            </w:pPr>
            <w:r>
              <w:rPr>
                <w:rFonts w:hint="eastAsia" w:ascii="宋体" w:hAnsi="宋体" w:eastAsia="宋体" w:cs="宋体"/>
                <w:sz w:val="24"/>
                <w:szCs w:val="24"/>
              </w:rPr>
              <w:t>睢县采购办等有关监督部门</w:t>
            </w:r>
          </w:p>
        </w:tc>
      </w:tr>
      <w:tr>
        <w:tblPrEx>
          <w:tblCellMar>
            <w:top w:w="0" w:type="dxa"/>
            <w:left w:w="0" w:type="dxa"/>
            <w:bottom w:w="0" w:type="dxa"/>
            <w:right w:w="0" w:type="dxa"/>
          </w:tblCellMar>
        </w:tblPrEx>
        <w:trPr>
          <w:trHeight w:val="1785" w:hRule="exact"/>
        </w:trPr>
        <w:tc>
          <w:tcPr>
            <w:tcW w:w="534" w:type="dxa"/>
            <w:tcBorders>
              <w:top w:val="single" w:color="000000" w:sz="2" w:space="0"/>
              <w:left w:val="single" w:color="000000" w:sz="2" w:space="0"/>
              <w:bottom w:val="single" w:color="000000" w:sz="2" w:space="0"/>
              <w:right w:val="single" w:color="000000" w:sz="2" w:space="0"/>
            </w:tcBorders>
            <w:vAlign w:val="center"/>
          </w:tcPr>
          <w:p>
            <w:pPr>
              <w:pStyle w:val="42"/>
              <w:rPr>
                <w:rFonts w:hint="eastAsia" w:ascii="宋体" w:hAnsi="宋体" w:eastAsia="宋体" w:cs="宋体"/>
                <w:sz w:val="24"/>
                <w:szCs w:val="24"/>
              </w:rPr>
            </w:pPr>
          </w:p>
          <w:p>
            <w:pPr>
              <w:pStyle w:val="42"/>
              <w:ind w:left="15"/>
              <w:jc w:val="center"/>
              <w:rPr>
                <w:rFonts w:hint="eastAsia" w:ascii="宋体" w:hAnsi="宋体" w:eastAsia="宋体" w:cs="宋体"/>
                <w:sz w:val="24"/>
                <w:szCs w:val="24"/>
              </w:rPr>
            </w:pPr>
          </w:p>
          <w:p>
            <w:pPr>
              <w:pStyle w:val="42"/>
              <w:jc w:val="center"/>
              <w:rPr>
                <w:rFonts w:hint="eastAsia" w:ascii="宋体" w:hAnsi="宋体" w:eastAsia="宋体" w:cs="宋体"/>
                <w:sz w:val="24"/>
                <w:szCs w:val="24"/>
              </w:rPr>
            </w:pPr>
            <w:r>
              <w:rPr>
                <w:rFonts w:hint="eastAsia" w:ascii="宋体" w:hAnsi="宋体" w:eastAsia="宋体" w:cs="宋体"/>
                <w:sz w:val="24"/>
                <w:szCs w:val="24"/>
              </w:rPr>
              <w:t>28</w:t>
            </w:r>
          </w:p>
        </w:tc>
        <w:tc>
          <w:tcPr>
            <w:tcW w:w="1911" w:type="dxa"/>
            <w:tcBorders>
              <w:top w:val="single" w:color="000000" w:sz="2" w:space="0"/>
              <w:left w:val="single" w:color="000000" w:sz="2" w:space="0"/>
              <w:bottom w:val="single" w:color="000000" w:sz="2" w:space="0"/>
              <w:right w:val="single" w:color="000000" w:sz="2" w:space="0"/>
            </w:tcBorders>
            <w:vAlign w:val="center"/>
          </w:tcPr>
          <w:p>
            <w:pPr>
              <w:pStyle w:val="42"/>
              <w:spacing w:before="93"/>
              <w:jc w:val="center"/>
              <w:rPr>
                <w:rFonts w:hint="eastAsia" w:ascii="宋体" w:hAnsi="宋体" w:eastAsia="宋体" w:cs="宋体"/>
                <w:sz w:val="24"/>
                <w:szCs w:val="24"/>
                <w:lang w:val="zh-CN"/>
              </w:rPr>
            </w:pPr>
          </w:p>
          <w:p>
            <w:pPr>
              <w:pStyle w:val="42"/>
              <w:spacing w:before="93"/>
              <w:jc w:val="center"/>
              <w:rPr>
                <w:rFonts w:hint="eastAsia" w:ascii="宋体" w:hAnsi="宋体" w:eastAsia="宋体" w:cs="宋体"/>
                <w:sz w:val="24"/>
                <w:szCs w:val="24"/>
                <w:lang w:val="zh-CN"/>
              </w:rPr>
            </w:pPr>
            <w:r>
              <w:rPr>
                <w:rFonts w:hint="eastAsia" w:ascii="宋体" w:hAnsi="宋体" w:eastAsia="宋体" w:cs="宋体"/>
                <w:sz w:val="24"/>
                <w:szCs w:val="24"/>
                <w:lang w:val="zh-CN"/>
              </w:rPr>
              <w:t>其他要求</w:t>
            </w:r>
          </w:p>
        </w:tc>
        <w:tc>
          <w:tcPr>
            <w:tcW w:w="7218" w:type="dxa"/>
            <w:tcBorders>
              <w:top w:val="single" w:color="000000" w:sz="2" w:space="0"/>
              <w:left w:val="single" w:color="000000" w:sz="2" w:space="0"/>
              <w:bottom w:val="single" w:color="000000" w:sz="2" w:space="0"/>
              <w:right w:val="single" w:color="000000" w:sz="2" w:space="0"/>
            </w:tcBorders>
          </w:tcPr>
          <w:p>
            <w:pPr>
              <w:pStyle w:val="44"/>
              <w:numPr>
                <w:ilvl w:val="0"/>
                <w:numId w:val="3"/>
              </w:numPr>
              <w:ind w:firstLineChars="0"/>
              <w:jc w:val="left"/>
              <w:rPr>
                <w:rFonts w:hint="eastAsia" w:ascii="宋体" w:hAnsi="宋体" w:eastAsia="宋体" w:cs="宋体"/>
                <w:sz w:val="24"/>
                <w:szCs w:val="24"/>
              </w:rPr>
            </w:pPr>
            <w:r>
              <w:rPr>
                <w:rFonts w:hint="eastAsia" w:ascii="宋体" w:hAnsi="宋体" w:eastAsia="宋体" w:cs="宋体"/>
                <w:sz w:val="24"/>
                <w:szCs w:val="24"/>
              </w:rPr>
              <w:t>货物质量第三方质量检测并出据产品质量合格证明，甲方才能签字付款手续，质量检测费用由乙方负担。</w:t>
            </w:r>
          </w:p>
          <w:p>
            <w:pPr>
              <w:pStyle w:val="44"/>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货物到达地点按照甲方指定的学校或某场所，运输、装卸、安装、调试、初验、拆卸等费用由乙方负担，乙方投标时核算在投标成本内。</w:t>
            </w:r>
          </w:p>
        </w:tc>
      </w:tr>
      <w:tr>
        <w:tblPrEx>
          <w:tblCellMar>
            <w:top w:w="0" w:type="dxa"/>
            <w:left w:w="0" w:type="dxa"/>
            <w:bottom w:w="0" w:type="dxa"/>
            <w:right w:w="0" w:type="dxa"/>
          </w:tblCellMar>
        </w:tblPrEx>
        <w:trPr>
          <w:trHeight w:val="9726" w:hRule="exact"/>
        </w:trPr>
        <w:tc>
          <w:tcPr>
            <w:tcW w:w="53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40" w:lineRule="atLeast"/>
              <w:jc w:val="center"/>
              <w:rPr>
                <w:rFonts w:hint="eastAsia" w:ascii="宋体" w:hAnsi="宋体" w:eastAsia="宋体" w:cs="宋体"/>
                <w:sz w:val="21"/>
                <w:szCs w:val="21"/>
              </w:rPr>
            </w:pPr>
            <w:r>
              <w:rPr>
                <w:rFonts w:hint="eastAsia" w:ascii="宋体" w:hAnsi="宋体" w:cs="宋体"/>
                <w:kern w:val="0"/>
                <w:sz w:val="21"/>
                <w:szCs w:val="21"/>
                <w:lang w:val="en-US" w:eastAsia="zh-CN"/>
              </w:rPr>
              <w:t>29</w:t>
            </w:r>
          </w:p>
        </w:tc>
        <w:tc>
          <w:tcPr>
            <w:tcW w:w="1911" w:type="dxa"/>
            <w:tcBorders>
              <w:top w:val="single" w:color="000000" w:sz="2" w:space="0"/>
              <w:left w:val="single" w:color="000000" w:sz="2" w:space="0"/>
              <w:bottom w:val="single" w:color="000000" w:sz="2" w:space="0"/>
              <w:right w:val="single" w:color="000000" w:sz="2" w:space="0"/>
            </w:tcBorders>
            <w:vAlign w:val="center"/>
          </w:tcPr>
          <w:p>
            <w:pPr>
              <w:spacing w:line="240" w:lineRule="atLeast"/>
              <w:jc w:val="center"/>
              <w:rPr>
                <w:rFonts w:hint="eastAsia" w:ascii="宋体" w:hAnsi="宋体" w:eastAsia="宋体" w:cs="宋体"/>
                <w:sz w:val="21"/>
                <w:szCs w:val="21"/>
                <w:lang w:val="zh-CN"/>
              </w:rPr>
            </w:pPr>
            <w:r>
              <w:rPr>
                <w:rFonts w:hint="eastAsia" w:ascii="宋体" w:hAnsi="宋体" w:eastAsia="宋体" w:cs="宋体"/>
                <w:sz w:val="21"/>
                <w:szCs w:val="21"/>
              </w:rPr>
              <w:t>政府采购政策</w:t>
            </w:r>
          </w:p>
        </w:tc>
        <w:tc>
          <w:tcPr>
            <w:tcW w:w="721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1.响应产品符合国家环保、节能标准，并载入财政部、国家发改委和国家环保总局发布的《环境标志产品政府采购品目清单》、《节能产品政府采购品目清单》内的，（供应商必须提供有关证明材料和文件等），将分别给予供应商在磋商过程中规定的标准分值进行减价评审。</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2.如采购产品属于财政部和国家发展改革委发布的《节能产品政府采购品目清单》中要求的强制政府采购产品的，供应商必须提供国家确定的认证机构出具的、处于有效期之内的《节能产品认证证书》复印件。认证机构名录附后。</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3.关于无线局域网产品，必须执行国家财政部、发改委、信息产业部等部门的规定，供应商必须提供所投货物的《无限局域网认证产品政府采购清单》等证明材料文件复印件。</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4.关于计算机办公设备，必须执行国家版权局、信息产业部、财政部等部门规定，供应商所投货物必须是国家信息部、版权局、商务部等部门认可的预装正版操作系统软件的计算机产品。</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5.采购货物为国家强制性认证产品的，必须符合强制性标准并提供国家及相关部门的认证材料和证书。</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6.优先采购本国产品。采购进口产品应符合《中华人民共和国政府采购法》并依法办理论证、公示、审批手续。</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7.采购信息安全产品的，应当采购经国家认证的信息安全产品，供应商应提供由中国信息安全认证中心按国家标准颁发的有效认证证书。</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8.鼓励创新，首购和订购的产品具有首创和自主研发性质，属于自主创新产品的，必须执行《自主创新产品政府收购和订购管理办法》。</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9.促进中小型企业发展，必须执行财政部、工信部印发的《政府采购促进中小型企业发展暂行办法》，对小型和微型企业的报价给予</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0%的扣除（监狱企业、残疾人福利性企业视同小型、微型企业），用扣除后的价格参与评审，参加政府采购活动的中小企业应当提供《中小企业声明函》，未填写中小企业声明函的在评审过程中不予认可。参加政府采购活动的残疾人福利性企业应当提供《残疾人福利性单位声明函》并提供证明材料，未填写残疾人福利性单位声明函的在评审过程中不予认可。成交人如为小型和微型企业的，并在响应文件中填写了中小企业声明函，则需要在领取成交通知书时提供由相关政府部门出具的企业划型认定材料，若不能提供或提供的材料与询价时做出的声明不符，采购人有权取消该成交人的成交资格，并对因其造成的损失进行追责。</w:t>
            </w:r>
          </w:p>
          <w:p>
            <w:pPr>
              <w:autoSpaceDE w:val="0"/>
              <w:autoSpaceDN w:val="0"/>
              <w:adjustRightInd w:val="0"/>
              <w:spacing w:line="240" w:lineRule="atLeast"/>
              <w:jc w:val="left"/>
              <w:rPr>
                <w:rFonts w:hint="eastAsia" w:ascii="宋体" w:hAnsi="宋体" w:eastAsia="宋体" w:cs="宋体"/>
                <w:kern w:val="0"/>
                <w:sz w:val="21"/>
                <w:szCs w:val="21"/>
              </w:rPr>
            </w:pPr>
            <w:r>
              <w:rPr>
                <w:rFonts w:hint="eastAsia" w:ascii="宋体" w:hAnsi="宋体" w:eastAsia="宋体" w:cs="宋体"/>
                <w:kern w:val="0"/>
                <w:sz w:val="21"/>
                <w:szCs w:val="21"/>
              </w:rPr>
              <w:t>10.开源节流，执行低价优先的采购政策规定。</w:t>
            </w:r>
          </w:p>
          <w:p>
            <w:pPr>
              <w:autoSpaceDE w:val="0"/>
              <w:autoSpaceDN w:val="0"/>
              <w:adjustRightInd w:val="0"/>
              <w:spacing w:line="240" w:lineRule="atLeast"/>
              <w:jc w:val="left"/>
              <w:rPr>
                <w:rFonts w:hint="eastAsia" w:ascii="宋体" w:hAnsi="宋体" w:eastAsia="宋体" w:cs="宋体"/>
                <w:sz w:val="21"/>
                <w:szCs w:val="21"/>
              </w:rPr>
            </w:pPr>
            <w:r>
              <w:rPr>
                <w:rFonts w:hint="eastAsia" w:ascii="宋体" w:hAnsi="宋体" w:eastAsia="宋体" w:cs="宋体"/>
                <w:b/>
                <w:bCs/>
                <w:kern w:val="0"/>
                <w:sz w:val="21"/>
                <w:szCs w:val="21"/>
              </w:rPr>
              <w:t>11.合同融资：严格按照豫财办【2020】33 号河南省财政厅关于印发深入推进政府采购合同融资工作实施方案的通知执行。（格式见附件）</w:t>
            </w:r>
          </w:p>
        </w:tc>
      </w:tr>
      <w:tr>
        <w:tblPrEx>
          <w:tblCellMar>
            <w:top w:w="0" w:type="dxa"/>
            <w:left w:w="0" w:type="dxa"/>
            <w:bottom w:w="0" w:type="dxa"/>
            <w:right w:w="0" w:type="dxa"/>
          </w:tblCellMar>
        </w:tblPrEx>
        <w:trPr>
          <w:trHeight w:val="3501" w:hRule="exact"/>
        </w:trPr>
        <w:tc>
          <w:tcPr>
            <w:tcW w:w="534" w:type="dxa"/>
            <w:tcBorders>
              <w:top w:val="single" w:color="000000" w:sz="2" w:space="0"/>
              <w:left w:val="single" w:color="000000" w:sz="2" w:space="0"/>
              <w:bottom w:val="single" w:color="000000" w:sz="2" w:space="0"/>
              <w:right w:val="single" w:color="000000" w:sz="2" w:space="0"/>
            </w:tcBorders>
            <w:vAlign w:val="center"/>
          </w:tcPr>
          <w:p>
            <w:pPr>
              <w:spacing w:line="360" w:lineRule="auto"/>
              <w:jc w:val="center"/>
              <w:rPr>
                <w:rFonts w:hint="default" w:ascii="宋体" w:hAnsi="宋体" w:eastAsia="宋体" w:cs="宋体"/>
                <w:kern w:val="0"/>
                <w:sz w:val="21"/>
                <w:szCs w:val="21"/>
                <w:lang w:val="en-US" w:eastAsia="zh-CN"/>
              </w:rPr>
            </w:pPr>
            <w:r>
              <w:rPr>
                <w:rFonts w:hint="eastAsia" w:ascii="宋体" w:hAnsi="宋体" w:cs="Arial"/>
                <w:b/>
                <w:color w:val="auto"/>
                <w:sz w:val="24"/>
                <w:szCs w:val="24"/>
                <w:highlight w:val="none"/>
                <w:lang w:val="en-US" w:eastAsia="zh-CN"/>
              </w:rPr>
              <w:t>30</w:t>
            </w:r>
          </w:p>
        </w:tc>
        <w:tc>
          <w:tcPr>
            <w:tcW w:w="1911" w:type="dxa"/>
            <w:tcBorders>
              <w:top w:val="single" w:color="000000" w:sz="2" w:space="0"/>
              <w:left w:val="single" w:color="000000" w:sz="2" w:space="0"/>
              <w:bottom w:val="single" w:color="000000" w:sz="2" w:space="0"/>
              <w:right w:val="single" w:color="000000" w:sz="2" w:space="0"/>
            </w:tcBorders>
            <w:vAlign w:val="center"/>
          </w:tcPr>
          <w:p>
            <w:pPr>
              <w:spacing w:line="360" w:lineRule="auto"/>
              <w:jc w:val="center"/>
              <w:rPr>
                <w:rFonts w:hint="eastAsia" w:ascii="宋体" w:hAnsi="宋体" w:eastAsia="宋体" w:cs="宋体"/>
                <w:sz w:val="21"/>
                <w:szCs w:val="21"/>
              </w:rPr>
            </w:pPr>
            <w:r>
              <w:rPr>
                <w:rFonts w:hint="eastAsia" w:ascii="宋体" w:hAnsi="宋体" w:cs="宋体"/>
                <w:b/>
                <w:color w:val="auto"/>
                <w:kern w:val="0"/>
                <w:sz w:val="24"/>
                <w:szCs w:val="24"/>
                <w:highlight w:val="none"/>
                <w:lang w:bidi="ar"/>
              </w:rPr>
              <w:t>企业信用核查报告</w:t>
            </w:r>
          </w:p>
        </w:tc>
        <w:tc>
          <w:tcPr>
            <w:tcW w:w="721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企业信用核查报告：根据《河南省社会信用条例》、睢县 发展和改革委员会和睢县社会信用体系建设领导小组办 公室部门及相关文件要求，需提供公司的《企业信用核查 报告》，查询要求及说明如下： 信用服务：市、县行政服务中心服务窗口咨询办理。 睢县地址：睢县行政服务中心一楼大厅信用服务窗口 工作电话：18338736293 服务热线：0370-2790833 网 址：http://www.lhxygl.com 所需材料：</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营业执照副本复印件纸质一份（不用加盖公章）</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 xml:space="preserve"> 法人身份证复印件纸质一份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经办人身份证复印件纸质一份</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textAlignment w:val="auto"/>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信用核查委托书纸质一份（登陆睢县公共资源交易中 心网→新闻动态→综合新闻→关于招标代理公司、投标 人、供应商等市场主体提供企业信用核查报告的通知→见 附件 1）</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120" w:leftChars="0" w:firstLine="0" w:firstLineChars="0"/>
              <w:textAlignment w:val="auto"/>
              <w:rPr>
                <w:rFonts w:hint="eastAsia" w:ascii="宋体" w:hAnsi="宋体" w:eastAsia="宋体" w:cs="宋体"/>
                <w:b/>
                <w:bCs/>
                <w:kern w:val="0"/>
                <w:sz w:val="21"/>
                <w:szCs w:val="21"/>
              </w:rPr>
            </w:pPr>
            <w:r>
              <w:rPr>
                <w:rFonts w:hint="eastAsia" w:ascii="宋体" w:hAnsi="宋体" w:cs="宋体"/>
                <w:b/>
                <w:color w:val="auto"/>
                <w:kern w:val="0"/>
                <w:sz w:val="22"/>
                <w:szCs w:val="22"/>
                <w:highlight w:val="none"/>
                <w:lang w:bidi="ar"/>
              </w:rPr>
              <w:t xml:space="preserve"> 注：将查询的企业信用核查报告附在响应文件中！</w:t>
            </w:r>
          </w:p>
        </w:tc>
      </w:tr>
    </w:tbl>
    <w:tbl>
      <w:tblPr>
        <w:tblStyle w:val="28"/>
        <w:tblpPr w:leftFromText="180" w:rightFromText="180" w:vertAnchor="text" w:horzAnchor="page" w:tblpX="1046" w:tblpY="1"/>
        <w:tblOverlap w:val="never"/>
        <w:tblW w:w="9839" w:type="dxa"/>
        <w:tblInd w:w="0" w:type="dxa"/>
        <w:tblLayout w:type="fixed"/>
        <w:tblCellMar>
          <w:top w:w="0" w:type="dxa"/>
          <w:left w:w="0" w:type="dxa"/>
          <w:bottom w:w="0" w:type="dxa"/>
          <w:right w:w="0" w:type="dxa"/>
        </w:tblCellMar>
      </w:tblPr>
      <w:tblGrid>
        <w:gridCol w:w="543"/>
        <w:gridCol w:w="9296"/>
      </w:tblGrid>
      <w:tr>
        <w:tblPrEx>
          <w:tblCellMar>
            <w:top w:w="0" w:type="dxa"/>
            <w:left w:w="0" w:type="dxa"/>
            <w:bottom w:w="0" w:type="dxa"/>
            <w:right w:w="0" w:type="dxa"/>
          </w:tblCellMar>
        </w:tblPrEx>
        <w:trPr>
          <w:trHeight w:val="13504" w:hRule="exact"/>
        </w:trPr>
        <w:tc>
          <w:tcPr>
            <w:tcW w:w="543" w:type="dxa"/>
            <w:tcBorders>
              <w:top w:val="single" w:color="000000" w:sz="2" w:space="0"/>
              <w:left w:val="single" w:color="000000" w:sz="2" w:space="0"/>
              <w:bottom w:val="single" w:color="000000" w:sz="2" w:space="0"/>
              <w:right w:val="single" w:color="000000" w:sz="2" w:space="0"/>
            </w:tcBorders>
            <w:vAlign w:val="center"/>
          </w:tcPr>
          <w:p>
            <w:pPr>
              <w:pStyle w:val="42"/>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31</w:t>
            </w:r>
          </w:p>
        </w:tc>
        <w:tc>
          <w:tcPr>
            <w:tcW w:w="9296" w:type="dxa"/>
            <w:tcBorders>
              <w:top w:val="single" w:color="000000" w:sz="2" w:space="0"/>
              <w:left w:val="single" w:color="000000" w:sz="2" w:space="0"/>
              <w:bottom w:val="single" w:color="000000" w:sz="2" w:space="0"/>
              <w:right w:val="single" w:color="000000" w:sz="2" w:space="0"/>
            </w:tcBorders>
            <w:vAlign w:val="center"/>
          </w:tcPr>
          <w:p>
            <w:pPr>
              <w:spacing w:line="312" w:lineRule="auto"/>
              <w:jc w:val="left"/>
              <w:rPr>
                <w:rFonts w:hint="eastAsia" w:ascii="宋体" w:hAnsi="宋体" w:eastAsia="宋体" w:cs="宋体"/>
                <w:b/>
                <w:bCs/>
                <w:lang w:val="en-US" w:eastAsia="zh-CN"/>
              </w:rPr>
            </w:pPr>
            <w:r>
              <w:rPr>
                <w:rFonts w:hint="eastAsia" w:ascii="宋体" w:hAnsi="宋体" w:eastAsia="宋体" w:cs="宋体"/>
                <w:b/>
                <w:bCs/>
              </w:rPr>
              <w:t>投标人全电子投标业务指南及注意事项</w:t>
            </w:r>
            <w:r>
              <w:rPr>
                <w:rFonts w:hint="eastAsia" w:ascii="宋体" w:hAnsi="宋体" w:eastAsia="宋体" w:cs="宋体"/>
                <w:b/>
                <w:bCs/>
                <w:lang w:val="en-US" w:eastAsia="zh-CN"/>
              </w:rPr>
              <w:t>;</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为保证您能投标成功，请仔细阅读以下条款。</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（一）、投标报名</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在我中心进行开标、评标的项目均是在睢县公共资源交易电子化交易系统（以下简称“电子化交易系统”）中运行的电子化交易项目。所有项目只接受网上报名，不接受其它形式报名。中心网站：http://www.sxggzy.cn/</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2.潜在投标人、供应商（以下简称投标人）在报名前需先在睢县公共资源交易投标人（供应商）诚信库中注册。办理CA证书（具体步骤详见中心2019年3月30日会员入库公告），</w:t>
            </w:r>
            <w:r>
              <w:rPr>
                <w:rFonts w:hint="eastAsia" w:cs="宋体"/>
                <w:color w:val="auto"/>
                <w:kern w:val="0"/>
                <w:sz w:val="20"/>
                <w:szCs w:val="23"/>
                <w:lang w:val="en-US" w:eastAsia="zh-CN" w:bidi="ar-SA"/>
              </w:rPr>
              <w:t>注册成功后自行绑定CA证书，</w:t>
            </w:r>
            <w:r>
              <w:rPr>
                <w:rFonts w:hint="eastAsia" w:ascii="宋体" w:hAnsi="宋体" w:eastAsia="宋体" w:cs="宋体"/>
                <w:color w:val="auto"/>
                <w:kern w:val="0"/>
                <w:sz w:val="20"/>
                <w:szCs w:val="23"/>
                <w:lang w:val="en-US" w:eastAsia="zh-CN" w:bidi="ar-SA"/>
              </w:rPr>
              <w:t>然后通过CA证书登录电子化交易系统进行报名。</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注：已经办理过CA证书并在有效期内的潜在投标人无需再次办理CA证书。</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3.投标人应充分考虑诚信库注册、CA证书办理所需时间，由此造成时间延误，造成无法报名的情况，由投标人自行承担责任。</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（二）、招标文件获取</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进入中心交易的建设工程、政府采购项目均为电子招标文件，投标人报名后自行在网上进行下载。</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（三）、投标保证金</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本项目无投标保证金</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（四）已到帐但未绑定成功的保证金的退还</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投标人缴纳的保证金已到中心账户，但未成功绑定的，可通过电子化交易系统自行申请退款。</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注：未中标投标人的投标保证金在项目结束后，由交易中心项目负责人提出退款申请，项目负责人同意并经财务科核对后，通过中心交易平台退还给投标人。</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（五）投标文件的制作、签章、上传</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电子化交易项目投标文件是投标人通过中心投标文件制作系统制作，并经过电子签章和加密后生成的电子版投标文件。投标文件是投标人通过中心投标文件制作系统制作，并经过签章和加密后生成的电子版投标文件。电子化投标文件制作教材，请通过CA证书登录睢县公共资源电子化交易系统在“组件下载”中查看。</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2.电子化投标文件的签章</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（1）投标人在生成电子化投标文件后，应对电子化投标文件进行签章，未进行签章的视为无效投标。</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（2）招标文件中要求法定代表人或授权委托人签字或盖章的，投标人在进行电子化投标文件签章时，以签盖法定代表人签章为准。</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3.电子化投标文件的格式及上传投标</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投标人登录《全国公共资源交易平台（河南省·睢县）》公共资源交易系统，在“组件下载”栏目下载“投标文件制作系统”，按招标文件要求制作电子投标文件。同时确保PDF阅读器、Word2007、北京CA驱动已经下载安装。投标人制作生成的电子化投标文件，应是通过中心投标文件制作系统制作的，经过签章和加密后生成的电子版投标文件。其中包含用于投标文件上传的主文件（文件格式为：xxx公司 xxx号.file）和用于应急补救的投标文件备份文件（文件格式为：xxx公司_ xxx号.bin）。制作好的投标文件一个标段对应生成一个文件包,其中包含2个文件和1个文件夹。后缀名为“.file”的文件用于电子投标使用，后缀名为“.PDF”的文件用于打印纸质投标文件，“备份文件夹”使用电子介质存储，供开标现场备用。投标人应及时查看CA证书信息是否过期，从招标文件下载至开标（电子投标文件的解密）整个周期，投标人CA证书不得更换、变更、延期等（包括不能办理延期、变更、更换、丢失补锁、损坏补锁等），否则会造成开标现场无法解密，对此投标人后果自负。</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投标人对同一项目多个标段进行投标的，应分别下载所投标段的招标文件，按标段制作电子投标文件，并按招标文件要求在相应位置加盖投标人电子印章和法人电子印章。</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投标人须将招标文件要求的资质、业绩、荣誉及相关人员证明材料等资料原件扫描件（或图片）制作到所提交的电子投标文件中。投标人应将电子化投标文件的主文件在投标截止时间前成功上传至睢县公共资源电子化交易系统。至投标截止时间止，仍未上传成功的电子化投标文件将不予接受。</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（六）项目开标、投标解密、唱标、评标</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1）电子投标文件应在招标文件规定的投标文件提交截止时间之前提交至《全国公共资源交易平台（河南省·睢县）》公共资源交易系统。投标人应充分考虑并预留技术处理和上传数据所需时间。投标人对同一项目多个标段进行投标的，电子投标文件应按标段分别提交。</w:t>
            </w:r>
          </w:p>
          <w:p>
            <w:pPr>
              <w:pStyle w:val="39"/>
              <w:spacing w:line="240" w:lineRule="auto"/>
              <w:rPr>
                <w:rFonts w:hint="eastAsia" w:ascii="宋体" w:hAnsi="宋体" w:eastAsia="宋体" w:cs="宋体"/>
                <w:sz w:val="21"/>
                <w:szCs w:val="21"/>
              </w:rPr>
            </w:pPr>
            <w:r>
              <w:rPr>
                <w:rFonts w:hint="eastAsia" w:ascii="宋体" w:hAnsi="宋体" w:eastAsia="宋体" w:cs="宋体"/>
                <w:color w:val="auto"/>
                <w:kern w:val="0"/>
                <w:sz w:val="20"/>
                <w:szCs w:val="23"/>
                <w:lang w:val="en-US" w:eastAsia="zh-CN" w:bidi="ar-SA"/>
              </w:rPr>
              <w:t>2.电子投标文件成功提交后，投标人应打印“投标文件提交回执单”。</w:t>
            </w:r>
          </w:p>
        </w:tc>
      </w:tr>
      <w:tr>
        <w:tblPrEx>
          <w:tblCellMar>
            <w:top w:w="0" w:type="dxa"/>
            <w:left w:w="0" w:type="dxa"/>
            <w:bottom w:w="0" w:type="dxa"/>
            <w:right w:w="0" w:type="dxa"/>
          </w:tblCellMar>
        </w:tblPrEx>
        <w:trPr>
          <w:trHeight w:val="13504" w:hRule="exact"/>
        </w:trPr>
        <w:tc>
          <w:tcPr>
            <w:tcW w:w="543" w:type="dxa"/>
            <w:tcBorders>
              <w:top w:val="single" w:color="000000" w:sz="2" w:space="0"/>
              <w:left w:val="single" w:color="000000" w:sz="2" w:space="0"/>
              <w:bottom w:val="single" w:color="000000" w:sz="2" w:space="0"/>
              <w:right w:val="single" w:color="000000" w:sz="2" w:space="0"/>
            </w:tcBorders>
            <w:vAlign w:val="center"/>
          </w:tcPr>
          <w:p>
            <w:pPr>
              <w:pStyle w:val="42"/>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31</w:t>
            </w:r>
          </w:p>
        </w:tc>
        <w:tc>
          <w:tcPr>
            <w:tcW w:w="9296" w:type="dxa"/>
            <w:tcBorders>
              <w:top w:val="single" w:color="000000" w:sz="2" w:space="0"/>
              <w:left w:val="single" w:color="000000" w:sz="2" w:space="0"/>
              <w:bottom w:val="single" w:color="000000" w:sz="2" w:space="0"/>
              <w:right w:val="single" w:color="000000" w:sz="2" w:space="0"/>
            </w:tcBorders>
            <w:vAlign w:val="center"/>
          </w:tcPr>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电子化投标文件采用双重加密方式。开标时，请投标人使用CA证书登陆交易平台，进入本项目开标大厅点击解密来完成投标文件的解密工作。投标人的解密时间为开标开始后，待所有投标人全部解密完成后，再由中介服务机构使用CA证书对投标文件进行再次解密。</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2.电子化投标文件异常的处理</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如出现投标人的电子投标文件无法解密等异常的情况，投标人应及时致电中介服务机构说明。投标文件解密异常，按以下步骤进行处理：</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（1）首先由交易平台技术人员进行问题排查。</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（2）经排查后，因投标人文件自身问题导致投标文件无法解密的，该投标文件将不予接收、解密和唱标。开标会议继续进行。</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经技术人员排查后，因电子化交易系统问题造成投标文件无法解密的，将由技术人员对问题进行处理。如短时间内问题无法解决的，将由中介服务机构向监督部门提出申请，经监督部门同意后，暂停开标会议，待问题解决后继续开标。</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（4）待所有投标人投标文件解密完成后，由中介服务机构操作，对所有已解密文件进行唱标。</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投标人应保证在开标期间电话、电脑、网络能够正常工作，未在规定的解密时间内对投标文件进行解密的，其投标文件不予接收、唱标。</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3.唱标结果的质疑</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开标时投标人可登录到交易系统中在开标大厅中点击开标一览表查看自己的投标报价。唱标时投标人如对自己的唱标内容有异议的，应在唱标内容显示后向中介服务机构进行质疑。中介服务机构应在监督人员的监督下接受投标人的质疑并做好书面记录。投标人未在规定时间内提出质疑的，视为认可唱标内容。</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4.评标依据。</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投标人应按招标文件规定下载、编制、提交电子投标文件及纸质投标文件（根据文件要求）。</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采用全流程电子化交易评标时，评标委员会以电子投标文件为依据评标。全流程电子化交易系统如因系统异常情况无法完成，将以人工方式进行（视情况）。</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（七）其他重要注意事项（常见问题解决办法）</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未绑定CA数字证书前忘记交易系统注册密码及绑定后CA数字证书信息发生变更无法登录交易系统需携带营业执照原件、营业执照复印件（加盖公章）、情况说明（加盖公章），到中心综合科重置密码</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生成投标文件时投标函乱码如何处理：投标函乱码是电脑上安装有WPS，生成PDF投标文件时调用WPS功能导致与签章系统不兼容，建议修改WPS不是默认关联word文件格式重新生成，如果生成依然有问题，可以卸载WPS后重新生成并签章。</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投标人签章时企业锁可以签章，法人锁无法签章如何处理：可能是同时企业锁和法人锁都插在电脑上，或者联系CA公司法人锁中是否包含签章或者签章是否有误，最后确认CA电子锁驱动是否是最新版本。</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投标人需确保电脑已经下载安装PDF阅读器、Word2007、北京CA驱动。</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如招标文件发生变更的，投标人需重新下载招标文件（EGP版）并重新制作、上传投标文件。</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保证金汇款、转账异常时，须联系汇出方银行查询原因。</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同投标人使用同一台电脑、同一网络等制作、上传同一项目投标文件的，有被视为串通投标、判定为无效投标的风险。</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如遇到投标文件上传慢、上传失败等问题，请进行以下操作：查找是否是个人电脑问题；更换网络环境。</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其它常见问题汇总：</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问：投标人投标函里填写信息提示长度超过限制</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答：在定义变量里选字符长度要根据实际情况多设置一些，一个汉字是两个字符长度。</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问：受理信息提交上去了，但是中心看不到</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答：去待办事项里面找到该项目，提交。</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问：投标人生成投标文件时投标函乱码如何处理？</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答：投标函乱码是电脑上安装有WPS，生成PDF投标文件时调用WPS功能导致与签章系统不兼容，建议修改WPS不是默认关联word文件格式重新生成，如果生成依然有问题，可以卸载WPS后重新生成并签章。</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问：投标人签章时企业锁可以签章，法人锁无法签章如何处理？</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答：可能是同时企业锁和法人锁都插在电脑上，或者联系CA公司法人锁中是否包含签章或者签章是否有误，最后确认CA电子锁驱动是否为最新版本。</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问：开标现场出现投标人企业锁无法解密时如何处理？</w:t>
            </w:r>
          </w:p>
          <w:p>
            <w:pPr>
              <w:pStyle w:val="39"/>
              <w:spacing w:line="240" w:lineRule="auto"/>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答：尝试使用法人锁解密，看是否正常，可能是投标文件生成时使用法人锁加密，如果法人锁也无法解密，需根据实际情况按招标文件要求，是否开标现场上传备份的bin格式文件。</w:t>
            </w:r>
          </w:p>
        </w:tc>
      </w:tr>
      <w:tr>
        <w:tblPrEx>
          <w:tblCellMar>
            <w:top w:w="0" w:type="dxa"/>
            <w:left w:w="0" w:type="dxa"/>
            <w:bottom w:w="0" w:type="dxa"/>
            <w:right w:w="0" w:type="dxa"/>
          </w:tblCellMar>
        </w:tblPrEx>
        <w:trPr>
          <w:trHeight w:val="2783" w:hRule="exact"/>
        </w:trPr>
        <w:tc>
          <w:tcPr>
            <w:tcW w:w="543" w:type="dxa"/>
            <w:tcBorders>
              <w:top w:val="single" w:color="000000" w:sz="2" w:space="0"/>
              <w:left w:val="single" w:color="000000" w:sz="2" w:space="0"/>
              <w:bottom w:val="single" w:color="000000" w:sz="2" w:space="0"/>
              <w:right w:val="single" w:color="000000" w:sz="2" w:space="0"/>
            </w:tcBorders>
            <w:vAlign w:val="center"/>
          </w:tcPr>
          <w:p>
            <w:pPr>
              <w:pStyle w:val="26"/>
              <w:spacing w:line="240" w:lineRule="exact"/>
              <w:jc w:val="center"/>
              <w:rPr>
                <w:rFonts w:hint="default" w:ascii="宋体" w:hAnsi="宋体" w:eastAsia="宋体" w:cs="宋体"/>
                <w:sz w:val="21"/>
                <w:szCs w:val="21"/>
                <w:lang w:val="en-US"/>
              </w:rPr>
            </w:pPr>
            <w:r>
              <w:rPr>
                <w:rFonts w:hint="eastAsia" w:ascii="宋体" w:hAnsi="宋体" w:cs="宋体"/>
                <w:sz w:val="20"/>
                <w:szCs w:val="23"/>
                <w:lang w:val="en-US" w:eastAsia="zh-CN"/>
              </w:rPr>
              <w:t>32</w:t>
            </w:r>
          </w:p>
        </w:tc>
        <w:tc>
          <w:tcPr>
            <w:tcW w:w="9296" w:type="dxa"/>
            <w:tcBorders>
              <w:top w:val="single" w:color="000000" w:sz="2" w:space="0"/>
              <w:left w:val="single" w:color="000000" w:sz="2" w:space="0"/>
              <w:bottom w:val="single" w:color="000000" w:sz="2" w:space="0"/>
              <w:right w:val="single" w:color="000000" w:sz="2" w:space="0"/>
            </w:tcBorders>
            <w:vAlign w:val="center"/>
          </w:tcPr>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特别提醒：</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1、因全程取消纸质文件，评审专家对代理机构的询问和要求投标人作出澄清、说明或补正均采用网上方式进行。</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2、投标人在开标结束后，应实时保持交易系统处于登录状态，确保能及时收到评标评审专家的澄清、说明或者补正的要求。因网络安全的需要，登录后长时间不操作将自动退出登录状态，建议投标人5分钟刷新一次。</w:t>
            </w:r>
          </w:p>
          <w:p>
            <w:pPr>
              <w:pStyle w:val="39"/>
              <w:spacing w:line="240" w:lineRule="auto"/>
              <w:ind w:firstLine="400" w:firstLineChars="200"/>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3、由于在评标过程中，磋商小组对投标人进行澄清的要求均有时间限制，并且在投标人澄清页面有倒计时提示，投标人应在规定时间内完成所有操作。推荐各投标人自行携带电脑，并实时保持交易系统处于登录状态，如由于投标人未看到澄清文件而带来的风险，采购人和招标代理机构不承担任何责任。</w:t>
            </w:r>
          </w:p>
        </w:tc>
      </w:tr>
      <w:tr>
        <w:tblPrEx>
          <w:tblCellMar>
            <w:top w:w="0" w:type="dxa"/>
            <w:left w:w="0" w:type="dxa"/>
            <w:bottom w:w="0" w:type="dxa"/>
            <w:right w:w="0" w:type="dxa"/>
          </w:tblCellMar>
        </w:tblPrEx>
        <w:trPr>
          <w:trHeight w:val="1090" w:hRule="exact"/>
        </w:trPr>
        <w:tc>
          <w:tcPr>
            <w:tcW w:w="543" w:type="dxa"/>
            <w:tcBorders>
              <w:top w:val="single" w:color="000000" w:sz="2" w:space="0"/>
              <w:left w:val="single" w:color="000000" w:sz="2" w:space="0"/>
              <w:bottom w:val="single" w:color="000000" w:sz="2" w:space="0"/>
              <w:right w:val="single" w:color="000000" w:sz="2" w:space="0"/>
            </w:tcBorders>
            <w:vAlign w:val="center"/>
          </w:tcPr>
          <w:p>
            <w:pPr>
              <w:pStyle w:val="26"/>
              <w:spacing w:line="240" w:lineRule="exact"/>
              <w:jc w:val="center"/>
              <w:rPr>
                <w:rFonts w:hint="default" w:ascii="宋体" w:hAnsi="宋体" w:eastAsia="宋体" w:cs="宋体"/>
                <w:sz w:val="21"/>
                <w:szCs w:val="21"/>
                <w:lang w:val="en-US"/>
              </w:rPr>
            </w:pPr>
            <w:r>
              <w:rPr>
                <w:rFonts w:hint="eastAsia" w:ascii="宋体" w:hAnsi="宋体" w:cs="宋体"/>
                <w:sz w:val="20"/>
                <w:szCs w:val="23"/>
                <w:lang w:val="en-US" w:eastAsia="zh-CN"/>
              </w:rPr>
              <w:t>33</w:t>
            </w:r>
          </w:p>
        </w:tc>
        <w:tc>
          <w:tcPr>
            <w:tcW w:w="9296" w:type="dxa"/>
            <w:tcBorders>
              <w:top w:val="single" w:color="000000" w:sz="2" w:space="0"/>
              <w:left w:val="single" w:color="000000" w:sz="2" w:space="0"/>
              <w:bottom w:val="single" w:color="000000" w:sz="2" w:space="0"/>
              <w:right w:val="single" w:color="000000" w:sz="2" w:space="0"/>
            </w:tcBorders>
            <w:vAlign w:val="center"/>
          </w:tcPr>
          <w:p>
            <w:pPr>
              <w:pStyle w:val="23"/>
              <w:ind w:left="0" w:leftChars="0" w:firstLine="0" w:firstLineChars="0"/>
              <w:rPr>
                <w:rFonts w:hint="eastAsia" w:ascii="宋体" w:hAnsi="宋体" w:eastAsia="宋体" w:cs="宋体"/>
                <w:color w:val="auto"/>
                <w:kern w:val="0"/>
                <w:sz w:val="20"/>
                <w:szCs w:val="23"/>
                <w:lang w:val="en-US" w:eastAsia="zh-CN" w:bidi="ar-SA"/>
              </w:rPr>
            </w:pPr>
            <w:r>
              <w:rPr>
                <w:rFonts w:hint="eastAsia" w:ascii="宋体" w:hAnsi="宋体" w:eastAsia="宋体" w:cs="宋体"/>
                <w:b/>
                <w:bCs/>
                <w:color w:val="auto"/>
                <w:kern w:val="0"/>
                <w:sz w:val="20"/>
                <w:szCs w:val="23"/>
                <w:lang w:val="en-US" w:eastAsia="zh-CN" w:bidi="ar-SA"/>
              </w:rPr>
              <w:t>注：成交人中标后需提供纸质竞争性磋商响应文件一份（最终 PDF 格式并和上传的电子竞争性磋商响应文件一致 ） ， 领成交通知书时交给业主负责人（采购人存档）！</w:t>
            </w:r>
          </w:p>
        </w:tc>
      </w:tr>
      <w:tr>
        <w:tblPrEx>
          <w:tblCellMar>
            <w:top w:w="0" w:type="dxa"/>
            <w:left w:w="0" w:type="dxa"/>
            <w:bottom w:w="0" w:type="dxa"/>
            <w:right w:w="0" w:type="dxa"/>
          </w:tblCellMar>
        </w:tblPrEx>
        <w:trPr>
          <w:trHeight w:val="628" w:hRule="exact"/>
        </w:trPr>
        <w:tc>
          <w:tcPr>
            <w:tcW w:w="543" w:type="dxa"/>
            <w:tcBorders>
              <w:top w:val="single" w:color="000000" w:sz="2" w:space="0"/>
              <w:left w:val="single" w:color="000000" w:sz="2" w:space="0"/>
              <w:bottom w:val="single" w:color="000000" w:sz="2" w:space="0"/>
              <w:right w:val="single" w:color="000000" w:sz="2" w:space="0"/>
            </w:tcBorders>
            <w:vAlign w:val="center"/>
          </w:tcPr>
          <w:p>
            <w:pPr>
              <w:pStyle w:val="39"/>
              <w:spacing w:line="240" w:lineRule="auto"/>
              <w:jc w:val="center"/>
              <w:rPr>
                <w:rFonts w:hint="default" w:ascii="宋体" w:hAnsi="宋体" w:eastAsia="宋体" w:cs="宋体"/>
                <w:sz w:val="21"/>
                <w:szCs w:val="21"/>
                <w:lang w:val="en-US"/>
              </w:rPr>
            </w:pPr>
            <w:r>
              <w:rPr>
                <w:rFonts w:hint="eastAsia" w:cs="宋体"/>
                <w:color w:val="auto"/>
                <w:kern w:val="0"/>
                <w:sz w:val="20"/>
                <w:szCs w:val="23"/>
                <w:lang w:val="en-US" w:eastAsia="zh-CN" w:bidi="ar-SA"/>
              </w:rPr>
              <w:t>34</w:t>
            </w:r>
          </w:p>
        </w:tc>
        <w:tc>
          <w:tcPr>
            <w:tcW w:w="9296" w:type="dxa"/>
            <w:tcBorders>
              <w:top w:val="single" w:color="000000" w:sz="2" w:space="0"/>
              <w:left w:val="single" w:color="000000" w:sz="2" w:space="0"/>
              <w:bottom w:val="single" w:color="000000" w:sz="2" w:space="0"/>
              <w:right w:val="single" w:color="000000" w:sz="2" w:space="0"/>
            </w:tcBorders>
            <w:vAlign w:val="center"/>
          </w:tcPr>
          <w:p>
            <w:pPr>
              <w:pStyle w:val="39"/>
              <w:spacing w:line="240" w:lineRule="auto"/>
              <w:ind w:firstLine="400" w:firstLineChars="200"/>
              <w:jc w:val="left"/>
              <w:rPr>
                <w:rFonts w:hint="eastAsia" w:ascii="宋体" w:hAnsi="宋体" w:eastAsia="宋体" w:cs="宋体"/>
                <w:color w:val="auto"/>
                <w:kern w:val="0"/>
                <w:sz w:val="20"/>
                <w:szCs w:val="23"/>
                <w:lang w:val="en-US" w:eastAsia="zh-CN" w:bidi="ar-SA"/>
              </w:rPr>
            </w:pPr>
            <w:r>
              <w:rPr>
                <w:rFonts w:hint="eastAsia" w:ascii="宋体" w:hAnsi="宋体" w:eastAsia="宋体" w:cs="宋体"/>
                <w:color w:val="auto"/>
                <w:kern w:val="0"/>
                <w:sz w:val="20"/>
                <w:szCs w:val="23"/>
                <w:lang w:val="en-US" w:eastAsia="zh-CN" w:bidi="ar-SA"/>
              </w:rPr>
              <w:t>未尽事宜：其它未尽事宜，按国家有关法律、法规执行</w:t>
            </w:r>
          </w:p>
        </w:tc>
      </w:tr>
      <w:bookmarkEnd w:id="13"/>
    </w:tbl>
    <w:p>
      <w:pPr>
        <w:rPr>
          <w:rFonts w:hint="eastAsia" w:ascii="宋体" w:hAnsi="宋体" w:eastAsia="宋体" w:cs="宋体"/>
          <w:sz w:val="21"/>
          <w:szCs w:val="21"/>
        </w:rPr>
      </w:pPr>
    </w:p>
    <w:p>
      <w:pPr>
        <w:pStyle w:val="2"/>
        <w:rPr>
          <w:rFonts w:ascii="宋体" w:hAnsi="宋体" w:cs="宋体"/>
          <w:bCs/>
        </w:rPr>
      </w:pPr>
      <w:bookmarkStart w:id="14" w:name="_Toc11371"/>
      <w:r>
        <w:rPr>
          <w:rFonts w:hint="eastAsia" w:ascii="宋体" w:hAnsi="宋体" w:cs="宋体"/>
          <w:spacing w:val="11"/>
        </w:rPr>
        <w:t>一、总</w:t>
      </w:r>
      <w:r>
        <w:rPr>
          <w:rFonts w:hint="eastAsia" w:ascii="宋体" w:hAnsi="宋体" w:cs="宋体"/>
        </w:rPr>
        <w:t>则</w:t>
      </w:r>
      <w:bookmarkEnd w:id="14"/>
    </w:p>
    <w:p>
      <w:pPr>
        <w:spacing w:line="360" w:lineRule="auto"/>
        <w:rPr>
          <w:b/>
          <w:bCs/>
        </w:rPr>
      </w:pPr>
      <w:r>
        <w:rPr>
          <w:rFonts w:hint="eastAsia"/>
          <w:b/>
          <w:bCs/>
        </w:rPr>
        <w:t>1、适用范围</w:t>
      </w:r>
    </w:p>
    <w:p>
      <w:pPr>
        <w:spacing w:line="360" w:lineRule="auto"/>
        <w:ind w:firstLine="480" w:firstLineChars="200"/>
        <w:rPr>
          <w:rFonts w:ascii="宋体" w:hAnsi="宋体" w:cs="宋体"/>
        </w:rPr>
      </w:pPr>
      <w:r>
        <w:rPr>
          <w:rFonts w:hint="eastAsia" w:ascii="宋体" w:hAnsi="宋体" w:cs="宋体"/>
        </w:rPr>
        <w:t>本采购文件仅适用于本次公开招标所叙述的货物和服务项目采购。本采购文件由采购人负责解释。</w:t>
      </w:r>
    </w:p>
    <w:p>
      <w:pPr>
        <w:spacing w:line="360" w:lineRule="auto"/>
        <w:rPr>
          <w:rFonts w:ascii="宋体" w:hAnsi="宋体" w:cs="宋体"/>
          <w:b/>
          <w:bCs/>
        </w:rPr>
      </w:pPr>
      <w:r>
        <w:rPr>
          <w:rFonts w:hint="eastAsia" w:ascii="宋体" w:hAnsi="宋体" w:cs="宋体"/>
          <w:b/>
          <w:bCs/>
        </w:rPr>
        <w:t>2、合格的供应商</w:t>
      </w:r>
    </w:p>
    <w:p>
      <w:pPr>
        <w:spacing w:line="360" w:lineRule="auto"/>
        <w:ind w:firstLine="240" w:firstLineChars="100"/>
        <w:rPr>
          <w:rFonts w:ascii="宋体" w:hAnsi="宋体" w:cs="宋体"/>
        </w:rPr>
      </w:pPr>
      <w:r>
        <w:rPr>
          <w:rFonts w:hint="eastAsia" w:ascii="宋体" w:hAnsi="宋体" w:cs="宋体"/>
        </w:rPr>
        <w:t>2.1 按照采购公告的规定，获得采购文件；</w:t>
      </w:r>
    </w:p>
    <w:p>
      <w:pPr>
        <w:spacing w:line="360" w:lineRule="auto"/>
        <w:ind w:firstLine="240" w:firstLineChars="100"/>
        <w:rPr>
          <w:rFonts w:ascii="宋体" w:hAnsi="宋体" w:cs="宋体"/>
        </w:rPr>
      </w:pPr>
      <w:r>
        <w:rPr>
          <w:rFonts w:hint="eastAsia" w:ascii="宋体" w:hAnsi="宋体" w:cs="宋体"/>
        </w:rPr>
        <w:t>2.2 供应商应遵守有关的法律、法规和招标机构有关招标的规定。</w:t>
      </w:r>
    </w:p>
    <w:p>
      <w:pPr>
        <w:spacing w:line="360" w:lineRule="auto"/>
        <w:rPr>
          <w:rFonts w:ascii="宋体" w:hAnsi="宋体" w:cs="宋体"/>
          <w:b/>
          <w:bCs/>
        </w:rPr>
      </w:pPr>
      <w:r>
        <w:rPr>
          <w:rFonts w:hint="eastAsia" w:ascii="宋体" w:hAnsi="宋体" w:cs="宋体"/>
          <w:b/>
          <w:bCs/>
        </w:rPr>
        <w:t>3．投标费用</w:t>
      </w:r>
    </w:p>
    <w:p>
      <w:pPr>
        <w:spacing w:line="360" w:lineRule="auto"/>
        <w:ind w:firstLine="480" w:firstLineChars="200"/>
        <w:rPr>
          <w:rFonts w:ascii="宋体" w:hAnsi="宋体" w:cs="宋体"/>
        </w:rPr>
      </w:pPr>
      <w:r>
        <w:rPr>
          <w:rFonts w:hint="eastAsia" w:ascii="宋体" w:hAnsi="宋体" w:cs="宋体"/>
        </w:rPr>
        <w:t>无论投标过程中的做法和结果如何，供应商自行承担所有与参加投标有关的全部费用。</w:t>
      </w:r>
    </w:p>
    <w:p>
      <w:pPr>
        <w:spacing w:line="360" w:lineRule="auto"/>
        <w:rPr>
          <w:rFonts w:ascii="宋体" w:hAnsi="宋体" w:cs="宋体"/>
        </w:rPr>
      </w:pPr>
      <w:r>
        <w:rPr>
          <w:rFonts w:hint="eastAsia" w:ascii="宋体" w:hAnsi="宋体" w:cs="宋体"/>
          <w:b/>
          <w:bCs/>
        </w:rPr>
        <w:t>4.适用法律</w:t>
      </w:r>
    </w:p>
    <w:p>
      <w:pPr>
        <w:spacing w:line="360" w:lineRule="auto"/>
        <w:ind w:firstLine="480" w:firstLineChars="200"/>
        <w:rPr>
          <w:rFonts w:ascii="宋体" w:hAnsi="宋体" w:cs="宋体"/>
        </w:rPr>
      </w:pPr>
      <w:r>
        <w:rPr>
          <w:rFonts w:hint="eastAsia" w:ascii="宋体" w:hAnsi="宋体" w:cs="宋体"/>
        </w:rPr>
        <w:t xml:space="preserve">本次招标及由本次招标产生的合同受中华人民共和国法律制约和保护。 </w:t>
      </w:r>
    </w:p>
    <w:p>
      <w:pPr>
        <w:spacing w:line="360" w:lineRule="auto"/>
        <w:rPr>
          <w:rFonts w:ascii="宋体" w:hAnsi="宋体" w:cs="宋体"/>
          <w:b/>
          <w:bCs/>
        </w:rPr>
      </w:pPr>
      <w:r>
        <w:rPr>
          <w:rFonts w:hint="eastAsia" w:ascii="宋体" w:hAnsi="宋体" w:cs="宋体"/>
          <w:b/>
          <w:bCs/>
        </w:rPr>
        <w:t>5、采购文件的约束力</w:t>
      </w:r>
    </w:p>
    <w:p>
      <w:pPr>
        <w:spacing w:line="360" w:lineRule="auto"/>
        <w:ind w:firstLine="480" w:firstLineChars="200"/>
        <w:rPr>
          <w:rFonts w:ascii="宋体" w:hAnsi="宋体" w:cs="宋体"/>
        </w:rPr>
      </w:pPr>
      <w:r>
        <w:rPr>
          <w:rFonts w:hint="eastAsia" w:ascii="宋体" w:hAnsi="宋体" w:cs="宋体"/>
        </w:rPr>
        <w:t>供应商一旦购买了本招标文件并参加投标，即被认为接受了本采购文件中的所有条件和规定。</w:t>
      </w:r>
    </w:p>
    <w:p>
      <w:pPr>
        <w:pStyle w:val="2"/>
      </w:pPr>
      <w:bookmarkStart w:id="15" w:name="_Toc7725"/>
      <w:r>
        <w:rPr>
          <w:rFonts w:hint="eastAsia"/>
        </w:rPr>
        <w:t>二、采购文件</w:t>
      </w:r>
      <w:bookmarkEnd w:id="15"/>
    </w:p>
    <w:p>
      <w:pPr>
        <w:spacing w:line="360" w:lineRule="auto"/>
        <w:rPr>
          <w:rFonts w:ascii="宋体" w:hAnsi="宋体" w:cs="宋体"/>
          <w:b/>
          <w:bCs/>
        </w:rPr>
      </w:pPr>
      <w:r>
        <w:rPr>
          <w:rFonts w:hint="eastAsia" w:ascii="宋体" w:hAnsi="宋体" w:cs="宋体"/>
          <w:b/>
          <w:bCs/>
        </w:rPr>
        <w:t>6、采购文件的构成</w:t>
      </w:r>
    </w:p>
    <w:p>
      <w:pPr>
        <w:spacing w:line="360" w:lineRule="auto"/>
        <w:ind w:firstLine="240" w:firstLineChars="100"/>
        <w:rPr>
          <w:rFonts w:ascii="宋体" w:hAnsi="宋体" w:cs="宋体"/>
        </w:rPr>
      </w:pPr>
      <w:r>
        <w:rPr>
          <w:rFonts w:hint="eastAsia" w:ascii="宋体" w:hAnsi="宋体" w:cs="宋体"/>
        </w:rPr>
        <w:t>6.1采购文件包括：</w:t>
      </w:r>
    </w:p>
    <w:p>
      <w:pPr>
        <w:spacing w:line="360" w:lineRule="auto"/>
        <w:ind w:firstLine="240" w:firstLineChars="100"/>
        <w:rPr>
          <w:rFonts w:ascii="宋体" w:hAnsi="宋体" w:cs="宋体"/>
        </w:rPr>
      </w:pPr>
      <w:r>
        <w:rPr>
          <w:rFonts w:hint="eastAsia" w:ascii="宋体" w:hAnsi="宋体" w:cs="宋体"/>
        </w:rPr>
        <w:t xml:space="preserve">(1）采购公告 </w:t>
      </w:r>
    </w:p>
    <w:p>
      <w:pPr>
        <w:spacing w:line="360" w:lineRule="auto"/>
        <w:ind w:firstLine="240" w:firstLineChars="100"/>
        <w:rPr>
          <w:rFonts w:ascii="宋体" w:hAnsi="宋体" w:cs="宋体"/>
        </w:rPr>
      </w:pPr>
      <w:r>
        <w:rPr>
          <w:rFonts w:hint="eastAsia" w:ascii="宋体" w:hAnsi="宋体" w:cs="宋体"/>
        </w:rPr>
        <w:t>(2）供应商须知</w:t>
      </w:r>
    </w:p>
    <w:p>
      <w:pPr>
        <w:spacing w:line="360" w:lineRule="auto"/>
        <w:ind w:firstLine="240" w:firstLineChars="100"/>
        <w:rPr>
          <w:rFonts w:ascii="宋体" w:hAnsi="宋体" w:cs="宋体"/>
        </w:rPr>
      </w:pPr>
      <w:r>
        <w:rPr>
          <w:rFonts w:hint="eastAsia" w:ascii="宋体" w:hAnsi="宋体" w:cs="宋体"/>
        </w:rPr>
        <w:t>(3）合同条款</w:t>
      </w:r>
    </w:p>
    <w:p>
      <w:pPr>
        <w:spacing w:line="360" w:lineRule="auto"/>
        <w:ind w:firstLine="240" w:firstLineChars="100"/>
        <w:rPr>
          <w:rFonts w:ascii="宋体" w:hAnsi="宋体" w:cs="宋体"/>
        </w:rPr>
      </w:pPr>
      <w:r>
        <w:rPr>
          <w:rFonts w:hint="eastAsia" w:ascii="宋体" w:hAnsi="宋体" w:cs="宋体"/>
        </w:rPr>
        <w:t>(4）采购清单及技术参数要求</w:t>
      </w:r>
    </w:p>
    <w:p>
      <w:pPr>
        <w:spacing w:line="360" w:lineRule="auto"/>
        <w:ind w:firstLine="240" w:firstLineChars="100"/>
        <w:rPr>
          <w:rFonts w:ascii="宋体" w:hAnsi="宋体" w:cs="宋体"/>
        </w:rPr>
      </w:pPr>
      <w:r>
        <w:rPr>
          <w:rFonts w:hint="eastAsia" w:ascii="宋体" w:hAnsi="宋体" w:cs="宋体"/>
        </w:rPr>
        <w:t>(5）评标办法（综合评估法）</w:t>
      </w:r>
    </w:p>
    <w:p>
      <w:pPr>
        <w:spacing w:line="360" w:lineRule="auto"/>
        <w:ind w:firstLine="240" w:firstLineChars="100"/>
        <w:rPr>
          <w:rFonts w:ascii="宋体" w:hAnsi="宋体" w:cs="宋体"/>
        </w:rPr>
      </w:pPr>
      <w:r>
        <w:rPr>
          <w:rFonts w:hint="eastAsia" w:ascii="宋体" w:hAnsi="宋体" w:cs="宋体"/>
        </w:rPr>
        <w:t>(6）响应文件格式</w:t>
      </w:r>
    </w:p>
    <w:p>
      <w:pPr>
        <w:spacing w:line="360" w:lineRule="auto"/>
        <w:ind w:firstLine="240" w:firstLineChars="100"/>
        <w:rPr>
          <w:rFonts w:ascii="宋体" w:hAnsi="宋体" w:cs="宋体"/>
        </w:rPr>
      </w:pPr>
      <w:r>
        <w:rPr>
          <w:rFonts w:hint="eastAsia" w:ascii="宋体" w:hAnsi="宋体" w:cs="宋体"/>
        </w:rPr>
        <w:t>（请仔细检查采购文件是否齐全，如有缺漏请立即与采购代理联系解决。）</w:t>
      </w:r>
    </w:p>
    <w:p>
      <w:pPr>
        <w:spacing w:line="360" w:lineRule="auto"/>
        <w:ind w:firstLine="240" w:firstLineChars="100"/>
        <w:rPr>
          <w:rFonts w:ascii="宋体" w:hAnsi="宋体" w:cs="宋体"/>
        </w:rPr>
      </w:pPr>
      <w:r>
        <w:rPr>
          <w:rFonts w:hint="eastAsia" w:ascii="宋体" w:hAnsi="宋体" w:cs="宋体"/>
        </w:rPr>
        <w:t>6.2</w:t>
      </w:r>
      <w:r>
        <w:rPr>
          <w:rFonts w:hint="eastAsia" w:ascii="宋体" w:hAnsi="宋体" w:cs="宋体"/>
        </w:rPr>
        <w:tab/>
      </w:r>
      <w:r>
        <w:rPr>
          <w:rFonts w:hint="eastAsia" w:ascii="宋体" w:hAnsi="宋体" w:cs="宋体"/>
        </w:rPr>
        <w:t>供应商应认真阅读和充分理解采购文件中所有的内容。如果没有满足采购文件的有关技术规格及服务等要求，其风险由供应商承担。</w:t>
      </w:r>
    </w:p>
    <w:p>
      <w:pPr>
        <w:spacing w:line="360" w:lineRule="auto"/>
        <w:rPr>
          <w:rFonts w:ascii="宋体" w:hAnsi="宋体" w:cs="宋体"/>
          <w:b/>
          <w:bCs/>
        </w:rPr>
      </w:pPr>
      <w:r>
        <w:rPr>
          <w:rFonts w:hint="eastAsia" w:ascii="宋体" w:hAnsi="宋体" w:cs="宋体"/>
          <w:b/>
          <w:bCs/>
        </w:rPr>
        <w:t>7、采购文件的答疑</w:t>
      </w:r>
    </w:p>
    <w:p>
      <w:pPr>
        <w:spacing w:line="360" w:lineRule="auto"/>
        <w:ind w:firstLine="480" w:firstLineChars="200"/>
        <w:rPr>
          <w:rFonts w:ascii="宋体" w:hAnsi="宋体" w:cs="宋体"/>
        </w:rPr>
      </w:pPr>
      <w:r>
        <w:rPr>
          <w:rFonts w:hint="eastAsia" w:ascii="宋体" w:hAnsi="宋体" w:cs="宋体"/>
        </w:rPr>
        <w:t>7.1 供应商应仔细阅读和检查招标文件的全部内容，若有疑问应以书面形式（如传真、信件、电报等）通知招标采购代理公司。采购人只对在投标截止时间的 10天（指日历天，下同）前收到的、要求答疑的问题予以答复，过期将不予答疑。</w:t>
      </w:r>
    </w:p>
    <w:p>
      <w:pPr>
        <w:spacing w:line="360" w:lineRule="auto"/>
        <w:ind w:firstLine="480" w:firstLineChars="200"/>
        <w:rPr>
          <w:rFonts w:ascii="宋体" w:hAnsi="宋体" w:cs="宋体"/>
        </w:rPr>
      </w:pPr>
      <w:r>
        <w:rPr>
          <w:rFonts w:hint="eastAsia" w:ascii="宋体" w:hAnsi="宋体" w:cs="宋体"/>
        </w:rPr>
        <w:t>7.2采购人的答疑将在收到疑问后 3 天内以书面形式发给所有购买采购文件的供应商，但不指明答疑问题的来源。</w:t>
      </w:r>
    </w:p>
    <w:p>
      <w:pPr>
        <w:spacing w:line="360" w:lineRule="auto"/>
        <w:rPr>
          <w:rFonts w:ascii="宋体" w:hAnsi="宋体" w:cs="宋体"/>
          <w:b/>
          <w:bCs/>
        </w:rPr>
      </w:pPr>
      <w:r>
        <w:rPr>
          <w:rFonts w:hint="eastAsia" w:ascii="宋体" w:hAnsi="宋体" w:cs="宋体"/>
          <w:b/>
          <w:bCs/>
        </w:rPr>
        <w:t>8、采购文件的修改</w:t>
      </w:r>
    </w:p>
    <w:p>
      <w:pPr>
        <w:spacing w:line="360" w:lineRule="auto"/>
        <w:ind w:firstLine="480" w:firstLineChars="200"/>
        <w:rPr>
          <w:rFonts w:ascii="宋体" w:hAnsi="宋体" w:cs="宋体"/>
        </w:rPr>
      </w:pPr>
      <w:r>
        <w:rPr>
          <w:rFonts w:hint="eastAsia" w:ascii="宋体" w:hAnsi="宋体" w:cs="宋体"/>
        </w:rPr>
        <w:t>8.1在采购人可以对已发出的采购文件进行必要的修改，修改的内容可能影响采购文件编制的，采购人应当在提交响应文件截止时间 15 日前，以书面形式通知所有获取采购文件的所有潜在 供应商；不足 15 日的，采购人应当顺延提交响应文件截止时间，以保证供应商有合理的时间修编响应文件。</w:t>
      </w:r>
    </w:p>
    <w:p>
      <w:pPr>
        <w:spacing w:line="360" w:lineRule="auto"/>
        <w:ind w:firstLine="480" w:firstLineChars="200"/>
        <w:rPr>
          <w:rFonts w:ascii="宋体" w:hAnsi="宋体" w:cs="宋体"/>
        </w:rPr>
      </w:pPr>
      <w:r>
        <w:rPr>
          <w:rFonts w:hint="eastAsia" w:ascii="宋体" w:hAnsi="宋体" w:cs="宋体"/>
        </w:rPr>
        <w:t>8.2上述补充通知将发给所有购买采购文件的供应商，并作为采购文件的组成部分，供应商在每一次收到补充通知后应以书面形式通知采购人，确认已收到该补充通知。</w:t>
      </w:r>
    </w:p>
    <w:p>
      <w:pPr>
        <w:pStyle w:val="2"/>
      </w:pPr>
      <w:bookmarkStart w:id="16" w:name="_Toc15271"/>
      <w:r>
        <w:rPr>
          <w:rFonts w:hint="eastAsia"/>
        </w:rPr>
        <w:t>三、 响应文件的编制</w:t>
      </w:r>
      <w:bookmarkEnd w:id="16"/>
    </w:p>
    <w:p>
      <w:pPr>
        <w:spacing w:line="360" w:lineRule="auto"/>
        <w:ind w:firstLine="482" w:firstLineChars="200"/>
        <w:rPr>
          <w:rFonts w:ascii="宋体" w:hAnsi="宋体" w:cs="宋体"/>
          <w:b/>
          <w:bCs/>
        </w:rPr>
      </w:pPr>
      <w:r>
        <w:rPr>
          <w:rFonts w:hint="eastAsia" w:ascii="宋体" w:hAnsi="宋体" w:cs="宋体"/>
          <w:b/>
          <w:bCs/>
        </w:rPr>
        <w:t>9、投标语言及度量衡单位</w:t>
      </w:r>
    </w:p>
    <w:p>
      <w:pPr>
        <w:spacing w:line="360" w:lineRule="auto"/>
        <w:ind w:firstLine="480" w:firstLineChars="200"/>
        <w:rPr>
          <w:rFonts w:ascii="宋体" w:hAnsi="宋体" w:cs="宋体"/>
        </w:rPr>
      </w:pPr>
      <w:r>
        <w:rPr>
          <w:rFonts w:hint="eastAsia" w:ascii="宋体" w:hAnsi="宋体" w:cs="宋体"/>
        </w:rPr>
        <w:t>9.1供应商提交的响应文件以及供应商与代理机构就有关投标的所有往来函电均应使用简体中文。</w:t>
      </w:r>
    </w:p>
    <w:p>
      <w:pPr>
        <w:spacing w:line="360" w:lineRule="auto"/>
        <w:ind w:firstLine="480" w:firstLineChars="200"/>
        <w:rPr>
          <w:rFonts w:ascii="宋体" w:hAnsi="宋体" w:cs="宋体"/>
        </w:rPr>
      </w:pPr>
      <w:r>
        <w:rPr>
          <w:rFonts w:hint="eastAsia" w:ascii="宋体" w:hAnsi="宋体" w:cs="宋体"/>
        </w:rPr>
        <w:t>9.2除技术规格及要求另有规定外，投标文件所使用的计量单位均采用国家法定计量单位。</w:t>
      </w:r>
    </w:p>
    <w:p>
      <w:pPr>
        <w:spacing w:line="360" w:lineRule="auto"/>
        <w:ind w:firstLine="482" w:firstLineChars="200"/>
        <w:rPr>
          <w:rFonts w:ascii="宋体" w:hAnsi="宋体" w:cs="宋体"/>
          <w:b/>
          <w:bCs/>
        </w:rPr>
      </w:pPr>
      <w:r>
        <w:rPr>
          <w:rFonts w:hint="eastAsia" w:ascii="宋体" w:hAnsi="宋体" w:cs="宋体"/>
          <w:b/>
          <w:bCs/>
        </w:rPr>
        <w:t>10、响应文件构成</w:t>
      </w:r>
    </w:p>
    <w:p>
      <w:pPr>
        <w:spacing w:line="360" w:lineRule="auto"/>
        <w:ind w:firstLine="480" w:firstLineChars="200"/>
        <w:rPr>
          <w:rFonts w:ascii="宋体" w:hAnsi="宋体" w:cs="宋体"/>
        </w:rPr>
      </w:pPr>
      <w:r>
        <w:rPr>
          <w:rFonts w:hint="eastAsia" w:ascii="宋体" w:hAnsi="宋体" w:cs="宋体"/>
        </w:rPr>
        <w:t>10.1.投标函</w:t>
      </w:r>
    </w:p>
    <w:p>
      <w:pPr>
        <w:spacing w:line="360" w:lineRule="auto"/>
        <w:ind w:firstLine="480" w:firstLineChars="200"/>
        <w:rPr>
          <w:rFonts w:ascii="宋体" w:hAnsi="宋体" w:cs="宋体"/>
        </w:rPr>
      </w:pPr>
      <w:r>
        <w:rPr>
          <w:rFonts w:hint="eastAsia" w:ascii="宋体" w:hAnsi="宋体" w:cs="宋体"/>
        </w:rPr>
        <w:t>10.2.投标报价一览表</w:t>
      </w:r>
    </w:p>
    <w:p>
      <w:pPr>
        <w:spacing w:line="360" w:lineRule="auto"/>
        <w:ind w:firstLine="480" w:firstLineChars="200"/>
        <w:rPr>
          <w:rFonts w:ascii="宋体" w:hAnsi="宋体" w:cs="宋体"/>
        </w:rPr>
      </w:pPr>
      <w:r>
        <w:rPr>
          <w:rFonts w:hint="eastAsia" w:ascii="宋体" w:hAnsi="宋体" w:cs="宋体"/>
        </w:rPr>
        <w:t>10.3.法定代表人身份证明</w:t>
      </w:r>
    </w:p>
    <w:p>
      <w:pPr>
        <w:spacing w:line="360" w:lineRule="auto"/>
        <w:ind w:firstLine="480" w:firstLineChars="200"/>
        <w:rPr>
          <w:rFonts w:ascii="宋体" w:hAnsi="宋体" w:cs="宋体"/>
        </w:rPr>
      </w:pPr>
      <w:r>
        <w:rPr>
          <w:rFonts w:hint="eastAsia" w:ascii="宋体" w:hAnsi="宋体" w:cs="宋体"/>
        </w:rPr>
        <w:t>10.4.授权委托书</w:t>
      </w:r>
    </w:p>
    <w:p>
      <w:pPr>
        <w:spacing w:line="360" w:lineRule="auto"/>
        <w:ind w:firstLine="480" w:firstLineChars="200"/>
        <w:rPr>
          <w:rFonts w:ascii="宋体" w:hAnsi="宋体" w:cs="宋体"/>
        </w:rPr>
      </w:pPr>
      <w:r>
        <w:rPr>
          <w:rFonts w:hint="eastAsia" w:ascii="宋体" w:hAnsi="宋体" w:cs="宋体"/>
        </w:rPr>
        <w:t>10.5.报价明细表</w:t>
      </w:r>
    </w:p>
    <w:p>
      <w:pPr>
        <w:spacing w:line="360" w:lineRule="auto"/>
        <w:ind w:firstLine="480" w:firstLineChars="200"/>
        <w:rPr>
          <w:rFonts w:ascii="宋体" w:hAnsi="宋体" w:cs="宋体"/>
        </w:rPr>
      </w:pPr>
      <w:r>
        <w:rPr>
          <w:rFonts w:hint="eastAsia" w:ascii="宋体" w:hAnsi="宋体" w:cs="宋体"/>
        </w:rPr>
        <w:t>10.6.技术响应表</w:t>
      </w:r>
    </w:p>
    <w:p>
      <w:pPr>
        <w:spacing w:line="360" w:lineRule="auto"/>
        <w:ind w:firstLine="480" w:firstLineChars="200"/>
        <w:rPr>
          <w:rFonts w:ascii="宋体" w:hAnsi="宋体" w:cs="宋体"/>
        </w:rPr>
      </w:pPr>
      <w:r>
        <w:rPr>
          <w:rFonts w:hint="eastAsia" w:ascii="宋体" w:hAnsi="宋体" w:cs="宋体"/>
        </w:rPr>
        <w:t>10.7 供应商资格审查资料</w:t>
      </w:r>
    </w:p>
    <w:p>
      <w:pPr>
        <w:spacing w:line="360" w:lineRule="auto"/>
        <w:ind w:firstLine="480" w:firstLineChars="200"/>
        <w:rPr>
          <w:rFonts w:ascii="宋体" w:hAnsi="宋体" w:cs="宋体"/>
        </w:rPr>
      </w:pPr>
      <w:r>
        <w:rPr>
          <w:rFonts w:hint="eastAsia" w:ascii="宋体" w:hAnsi="宋体" w:cs="宋体"/>
        </w:rPr>
        <w:t>10.8 其他资料</w:t>
      </w:r>
    </w:p>
    <w:p>
      <w:pPr>
        <w:spacing w:line="360" w:lineRule="auto"/>
        <w:rPr>
          <w:rFonts w:ascii="宋体" w:hAnsi="宋体" w:cs="宋体"/>
          <w:b/>
          <w:bCs/>
        </w:rPr>
      </w:pPr>
      <w:r>
        <w:rPr>
          <w:rFonts w:hint="eastAsia" w:ascii="宋体" w:hAnsi="宋体" w:cs="宋体"/>
          <w:b/>
          <w:bCs/>
        </w:rPr>
        <w:t>11、响应承诺函</w:t>
      </w:r>
    </w:p>
    <w:p>
      <w:pPr>
        <w:spacing w:line="360" w:lineRule="auto"/>
        <w:ind w:firstLine="480" w:firstLineChars="200"/>
        <w:rPr>
          <w:rFonts w:ascii="宋体" w:hAnsi="宋体" w:cs="宋体"/>
        </w:rPr>
      </w:pPr>
      <w:r>
        <w:rPr>
          <w:rFonts w:hint="eastAsia" w:ascii="宋体" w:hAnsi="宋体" w:cs="宋体"/>
        </w:rPr>
        <w:t>供应商应完整地填写响应文件中的投标承诺函和投标报价表，说明所提供货物的名称及价格。</w:t>
      </w:r>
    </w:p>
    <w:p>
      <w:pPr>
        <w:spacing w:line="360" w:lineRule="auto"/>
        <w:rPr>
          <w:rFonts w:ascii="宋体" w:hAnsi="宋体" w:cs="宋体"/>
          <w:b/>
          <w:bCs/>
        </w:rPr>
      </w:pPr>
      <w:r>
        <w:rPr>
          <w:rFonts w:hint="eastAsia" w:ascii="宋体" w:hAnsi="宋体" w:cs="宋体"/>
          <w:b/>
          <w:bCs/>
        </w:rPr>
        <w:t>12、投标报价</w:t>
      </w:r>
    </w:p>
    <w:p>
      <w:pPr>
        <w:spacing w:line="360" w:lineRule="auto"/>
        <w:ind w:firstLine="480" w:firstLineChars="200"/>
        <w:rPr>
          <w:rFonts w:ascii="宋体" w:hAnsi="宋体" w:cs="宋体"/>
        </w:rPr>
      </w:pPr>
      <w:r>
        <w:rPr>
          <w:rFonts w:hint="eastAsia" w:ascii="宋体" w:hAnsi="宋体" w:cs="宋体"/>
        </w:rPr>
        <w:t>12.1采购项目的总价：采购项目的总价包含货物费用、税金、项目实施过程中所发生的运输、管理等运杂费和保险、售后服务以及所有的不定因素的风险等其他费用。</w:t>
      </w:r>
    </w:p>
    <w:p>
      <w:pPr>
        <w:spacing w:line="360" w:lineRule="auto"/>
        <w:ind w:firstLine="480" w:firstLineChars="200"/>
        <w:rPr>
          <w:rFonts w:ascii="宋体" w:hAnsi="宋体" w:cs="宋体"/>
        </w:rPr>
      </w:pPr>
      <w:r>
        <w:rPr>
          <w:rFonts w:hint="eastAsia" w:ascii="宋体" w:hAnsi="宋体" w:cs="宋体"/>
        </w:rPr>
        <w:t>12.2投标报价应以人民币报价。</w:t>
      </w:r>
    </w:p>
    <w:p>
      <w:pPr>
        <w:spacing w:line="360" w:lineRule="auto"/>
        <w:ind w:firstLine="480" w:firstLineChars="200"/>
        <w:rPr>
          <w:rFonts w:ascii="宋体" w:hAnsi="宋体" w:cs="宋体"/>
        </w:rPr>
      </w:pPr>
      <w:r>
        <w:rPr>
          <w:rFonts w:hint="eastAsia" w:ascii="宋体" w:hAnsi="宋体" w:cs="宋体"/>
        </w:rPr>
        <w:t>12.3最低报价不能作为中标的保证。超出预算的投标报价将视为无效投标。</w:t>
      </w:r>
    </w:p>
    <w:p>
      <w:pPr>
        <w:spacing w:line="360" w:lineRule="auto"/>
        <w:ind w:firstLine="480" w:firstLineChars="200"/>
        <w:rPr>
          <w:rFonts w:ascii="宋体" w:hAnsi="宋体" w:cs="宋体"/>
        </w:rPr>
      </w:pPr>
      <w:r>
        <w:rPr>
          <w:rFonts w:hint="eastAsia" w:ascii="宋体" w:hAnsi="宋体" w:cs="宋体"/>
        </w:rPr>
        <w:t>12.4 在评审过程中，评标委员会发现供应商的报价明显低于其他投标报价，或者在设有标底时明 显低于标底，使得其投标报价可能低于其个别成本的，应当要求该采购人作出书面说明并提供相应的证明材料。供应商不能合理说明或者不能提供相应证明材料的，由评标委员会认定该供应商以低于成本报价20%竞标，其投标作无效投标处理。</w:t>
      </w:r>
    </w:p>
    <w:p>
      <w:pPr>
        <w:spacing w:line="360" w:lineRule="auto"/>
        <w:rPr>
          <w:rFonts w:ascii="宋体" w:hAnsi="宋体" w:cs="宋体"/>
          <w:b/>
          <w:bCs/>
        </w:rPr>
      </w:pPr>
      <w:r>
        <w:rPr>
          <w:rFonts w:hint="eastAsia" w:ascii="宋体" w:hAnsi="宋体" w:cs="宋体"/>
          <w:b/>
          <w:bCs/>
        </w:rPr>
        <w:t>13、技术文件</w:t>
      </w:r>
    </w:p>
    <w:p>
      <w:pPr>
        <w:spacing w:line="360" w:lineRule="auto"/>
        <w:rPr>
          <w:rFonts w:ascii="宋体" w:hAnsi="宋体" w:cs="宋体"/>
        </w:rPr>
      </w:pPr>
      <w:r>
        <w:rPr>
          <w:rFonts w:hint="eastAsia" w:ascii="宋体" w:hAnsi="宋体" w:cs="宋体"/>
        </w:rPr>
        <w:t>技术文件应包括以下内容：</w:t>
      </w:r>
    </w:p>
    <w:p>
      <w:pPr>
        <w:spacing w:line="360" w:lineRule="auto"/>
        <w:rPr>
          <w:rFonts w:ascii="宋体" w:hAnsi="宋体" w:cs="宋体"/>
        </w:rPr>
      </w:pPr>
      <w:r>
        <w:rPr>
          <w:rFonts w:hint="eastAsia" w:ascii="宋体" w:hAnsi="宋体" w:cs="宋体"/>
        </w:rPr>
        <w:t>（1）投标产品的品牌、型号、规格；</w:t>
      </w:r>
    </w:p>
    <w:p>
      <w:pPr>
        <w:spacing w:line="360" w:lineRule="auto"/>
        <w:rPr>
          <w:rFonts w:ascii="宋体" w:hAnsi="宋体" w:cs="宋体"/>
        </w:rPr>
      </w:pPr>
      <w:r>
        <w:rPr>
          <w:rFonts w:hint="eastAsia" w:ascii="宋体" w:hAnsi="宋体" w:cs="宋体"/>
        </w:rPr>
        <w:t>（2）详细的技术指标和参数；技术偏差表；</w:t>
      </w:r>
    </w:p>
    <w:p>
      <w:pPr>
        <w:spacing w:line="360" w:lineRule="auto"/>
        <w:rPr>
          <w:rFonts w:ascii="宋体" w:hAnsi="宋体" w:cs="宋体"/>
        </w:rPr>
      </w:pPr>
      <w:r>
        <w:rPr>
          <w:rFonts w:hint="eastAsia" w:ascii="宋体" w:hAnsi="宋体" w:cs="宋体"/>
        </w:rPr>
        <w:t xml:space="preserve">（3）产品的技术服务的内容及措施； </w:t>
      </w:r>
    </w:p>
    <w:p>
      <w:pPr>
        <w:spacing w:line="360" w:lineRule="auto"/>
        <w:rPr>
          <w:rFonts w:ascii="宋体" w:hAnsi="宋体" w:cs="宋体"/>
          <w:b/>
          <w:bCs/>
        </w:rPr>
      </w:pPr>
      <w:r>
        <w:rPr>
          <w:rFonts w:hint="eastAsia" w:ascii="宋体" w:hAnsi="宋体" w:cs="宋体"/>
          <w:b/>
          <w:bCs/>
        </w:rPr>
        <w:t xml:space="preserve">14、证明供应商资格的文件 </w:t>
      </w:r>
    </w:p>
    <w:p>
      <w:pPr>
        <w:spacing w:line="360" w:lineRule="auto"/>
        <w:rPr>
          <w:rFonts w:ascii="宋体" w:hAnsi="宋体" w:cs="宋体"/>
        </w:rPr>
      </w:pPr>
      <w:r>
        <w:rPr>
          <w:rFonts w:hint="eastAsia" w:ascii="宋体" w:hAnsi="宋体" w:cs="宋体"/>
        </w:rPr>
        <w:t>资格证明文件部分应包括：</w:t>
      </w:r>
    </w:p>
    <w:p>
      <w:pPr>
        <w:spacing w:line="360" w:lineRule="auto"/>
        <w:ind w:firstLine="240" w:firstLineChars="100"/>
        <w:rPr>
          <w:rFonts w:ascii="宋体" w:hAnsi="宋体" w:cs="宋体"/>
        </w:rPr>
      </w:pPr>
      <w:r>
        <w:rPr>
          <w:rFonts w:hint="eastAsia" w:ascii="宋体" w:hAnsi="宋体" w:cs="宋体"/>
        </w:rPr>
        <w:t>（1）供应商资格声明函；</w:t>
      </w:r>
    </w:p>
    <w:p>
      <w:pPr>
        <w:spacing w:line="360" w:lineRule="auto"/>
        <w:ind w:firstLine="240" w:firstLineChars="100"/>
        <w:rPr>
          <w:rFonts w:ascii="宋体" w:hAnsi="宋体" w:cs="宋体"/>
        </w:rPr>
      </w:pPr>
      <w:r>
        <w:rPr>
          <w:rFonts w:hint="eastAsia" w:ascii="宋体" w:hAnsi="宋体" w:cs="宋体"/>
        </w:rPr>
        <w:t>（2）供应商企业资质和所投产品资格证明文件的复印件或扫描件。</w:t>
      </w:r>
    </w:p>
    <w:p>
      <w:pPr>
        <w:spacing w:line="360" w:lineRule="auto"/>
        <w:rPr>
          <w:rFonts w:ascii="宋体" w:hAnsi="宋体" w:cs="宋体"/>
          <w:b/>
          <w:bCs/>
        </w:rPr>
      </w:pPr>
      <w:r>
        <w:rPr>
          <w:rFonts w:hint="eastAsia" w:ascii="宋体" w:hAnsi="宋体" w:cs="宋体"/>
          <w:b/>
          <w:bCs/>
        </w:rPr>
        <w:t>15、投标保证金</w:t>
      </w:r>
    </w:p>
    <w:p>
      <w:pPr>
        <w:spacing w:line="360" w:lineRule="auto"/>
        <w:ind w:firstLine="480" w:firstLineChars="200"/>
        <w:rPr>
          <w:rFonts w:ascii="宋体" w:hAnsi="宋体" w:cs="宋体"/>
        </w:rPr>
      </w:pPr>
      <w:r>
        <w:rPr>
          <w:rFonts w:hint="eastAsia" w:ascii="宋体" w:hAnsi="宋体" w:cs="宋体"/>
        </w:rPr>
        <w:t>不适用于本项目。</w:t>
      </w:r>
    </w:p>
    <w:p>
      <w:pPr>
        <w:spacing w:line="360" w:lineRule="auto"/>
        <w:rPr>
          <w:rFonts w:ascii="宋体" w:hAnsi="宋体" w:cs="宋体"/>
          <w:b/>
          <w:bCs/>
        </w:rPr>
      </w:pPr>
      <w:r>
        <w:rPr>
          <w:rFonts w:hint="eastAsia" w:ascii="宋体" w:hAnsi="宋体" w:cs="宋体"/>
          <w:b/>
          <w:bCs/>
        </w:rPr>
        <w:t>16、投标有效期</w:t>
      </w:r>
    </w:p>
    <w:p>
      <w:pPr>
        <w:spacing w:line="360" w:lineRule="auto"/>
        <w:ind w:firstLine="480" w:firstLineChars="200"/>
        <w:rPr>
          <w:rFonts w:ascii="宋体" w:hAnsi="宋体" w:cs="宋体"/>
        </w:rPr>
      </w:pPr>
      <w:r>
        <w:rPr>
          <w:rFonts w:hint="eastAsia" w:ascii="宋体" w:hAnsi="宋体" w:cs="宋体"/>
        </w:rPr>
        <w:t>16.1投标有效期为代理机构规定的开标之日后</w:t>
      </w:r>
      <w:r>
        <w:rPr>
          <w:rFonts w:hint="eastAsia" w:ascii="宋体" w:hAnsi="宋体" w:cs="宋体"/>
          <w:lang w:eastAsia="zh-CN"/>
        </w:rPr>
        <w:t>九</w:t>
      </w:r>
      <w:r>
        <w:rPr>
          <w:rFonts w:hint="eastAsia" w:ascii="宋体" w:hAnsi="宋体" w:cs="宋体"/>
        </w:rPr>
        <w:t>十（</w:t>
      </w:r>
      <w:r>
        <w:rPr>
          <w:rFonts w:hint="eastAsia" w:ascii="宋体" w:hAnsi="宋体" w:cs="宋体"/>
          <w:lang w:val="en-US" w:eastAsia="zh-CN"/>
        </w:rPr>
        <w:t>9</w:t>
      </w:r>
      <w:r>
        <w:rPr>
          <w:rFonts w:hint="eastAsia" w:ascii="宋体" w:hAnsi="宋体" w:cs="宋体"/>
        </w:rPr>
        <w:t>0）天内。</w:t>
      </w:r>
    </w:p>
    <w:p>
      <w:pPr>
        <w:spacing w:line="360" w:lineRule="auto"/>
        <w:ind w:firstLine="480" w:firstLineChars="200"/>
        <w:rPr>
          <w:rFonts w:ascii="宋体" w:hAnsi="宋体" w:cs="宋体"/>
        </w:rPr>
      </w:pPr>
      <w:r>
        <w:rPr>
          <w:rFonts w:hint="eastAsia" w:ascii="宋体" w:hAnsi="宋体" w:cs="宋体"/>
        </w:rPr>
        <w:t>16.2在特殊情况下，采购人于原投标有效期满前，可向供应商提出延长投标有效期的要求。这种要 求与答复均应采用书面形式。采购人可以拒绝供应商的这一要求而放弃中标，如有投标保证金将尽快退回， 同意延长的供应商既不能要求也不允许修改采购文件。</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17.响应文件</w:t>
      </w:r>
      <w:r>
        <w:rPr>
          <w:rFonts w:hint="eastAsia" w:ascii="宋体" w:hAnsi="宋体" w:cs="宋体"/>
          <w:b/>
          <w:bCs/>
          <w:color w:val="000000" w:themeColor="text1"/>
          <w:lang w:eastAsia="zh-CN"/>
          <w14:textFill>
            <w14:solidFill>
              <w14:schemeClr w14:val="tx1"/>
            </w14:solidFill>
          </w14:textFill>
        </w:rPr>
        <w:t>签</w:t>
      </w:r>
      <w:r>
        <w:rPr>
          <w:rFonts w:hint="eastAsia" w:ascii="宋体" w:hAnsi="宋体" w:cs="宋体"/>
          <w:b/>
          <w:bCs/>
          <w:color w:val="000000" w:themeColor="text1"/>
          <w14:textFill>
            <w14:solidFill>
              <w14:schemeClr w14:val="tx1"/>
            </w14:solidFill>
          </w14:textFill>
        </w:rPr>
        <w:t>署</w:t>
      </w:r>
    </w:p>
    <w:p>
      <w:pPr>
        <w:spacing w:line="360" w:lineRule="auto"/>
        <w:ind w:firstLine="480" w:firstLineChars="200"/>
        <w:rPr>
          <w:rFonts w:ascii="宋体" w:hAnsi="宋体" w:cs="宋体"/>
        </w:rPr>
      </w:pPr>
      <w:r>
        <w:rPr>
          <w:rFonts w:hint="eastAsia" w:ascii="宋体" w:hAnsi="宋体" w:cs="宋体"/>
        </w:rPr>
        <w:t>17.1 供应商应按“投标须知前附表”准备</w:t>
      </w:r>
      <w:r>
        <w:rPr>
          <w:rFonts w:hint="eastAsia" w:ascii="宋体" w:hAnsi="宋体" w:cs="宋体"/>
          <w:lang w:eastAsia="zh-CN"/>
        </w:rPr>
        <w:t>响应</w:t>
      </w:r>
      <w:r>
        <w:rPr>
          <w:rFonts w:hint="eastAsia" w:ascii="宋体" w:hAnsi="宋体" w:cs="宋体"/>
        </w:rPr>
        <w:t>文件电子文档。</w:t>
      </w:r>
    </w:p>
    <w:p>
      <w:pPr>
        <w:spacing w:line="360" w:lineRule="auto"/>
        <w:ind w:firstLine="480" w:firstLineChars="200"/>
        <w:rPr>
          <w:rFonts w:ascii="宋体" w:hAnsi="宋体" w:cs="宋体"/>
        </w:rPr>
      </w:pPr>
      <w:r>
        <w:rPr>
          <w:rFonts w:hint="eastAsia" w:ascii="宋体" w:hAnsi="宋体" w:cs="宋体"/>
        </w:rPr>
        <w:t>17.6采购文件要求供应商单位“盖章”或“签章”的，必须加盖单位行政公章；要求法人代表或授权代表“签字”的，必须由法人代表或授权代表亲自签名；要求法人代表或授权代表“签章”的，签字或盖章均可。</w:t>
      </w:r>
    </w:p>
    <w:p>
      <w:pPr>
        <w:numPr>
          <w:ilvl w:val="0"/>
          <w:numId w:val="5"/>
        </w:numPr>
        <w:spacing w:line="360" w:lineRule="auto"/>
        <w:rPr>
          <w:rFonts w:hint="eastAsia" w:ascii="宋体" w:hAnsi="宋体" w:cs="宋体"/>
          <w:b/>
          <w:bCs/>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响应文件的</w:t>
      </w:r>
      <w:r>
        <w:rPr>
          <w:rFonts w:hint="eastAsia" w:ascii="宋体" w:hAnsi="宋体" w:cs="宋体"/>
          <w:b/>
          <w:bCs/>
          <w:color w:val="000000" w:themeColor="text1"/>
          <w:lang w:eastAsia="zh-CN"/>
          <w14:textFill>
            <w14:solidFill>
              <w14:schemeClr w14:val="tx1"/>
            </w14:solidFill>
          </w14:textFill>
        </w:rPr>
        <w:t>份数</w:t>
      </w:r>
    </w:p>
    <w:p>
      <w:pPr>
        <w:spacing w:line="360" w:lineRule="auto"/>
        <w:ind w:firstLine="480" w:firstLineChars="200"/>
        <w:rPr>
          <w:rFonts w:hint="default" w:ascii="宋体" w:hAnsi="宋体" w:cs="宋体"/>
          <w:lang w:val="en-US" w:eastAsia="zh-CN"/>
        </w:rPr>
      </w:pPr>
      <w:r>
        <w:rPr>
          <w:rFonts w:hint="eastAsia" w:ascii="宋体" w:hAnsi="宋体" w:cs="宋体"/>
          <w:lang w:eastAsia="zh-CN"/>
        </w:rPr>
        <w:t>上传加密电子版响应文件</w:t>
      </w:r>
      <w:r>
        <w:rPr>
          <w:rFonts w:hint="eastAsia" w:ascii="宋体" w:hAnsi="宋体" w:cs="宋体"/>
          <w:lang w:val="en-US" w:eastAsia="zh-CN"/>
        </w:rPr>
        <w:t>1份按睢县公共资源交易中心对电子投标文件的要求进行制作，在系统指定位置上传。</w:t>
      </w:r>
    </w:p>
    <w:p>
      <w:pPr>
        <w:pStyle w:val="2"/>
      </w:pPr>
      <w:bookmarkStart w:id="17" w:name="_Toc12142"/>
      <w:r>
        <w:rPr>
          <w:rFonts w:hint="eastAsia"/>
        </w:rPr>
        <w:t>四、响应文件的递交</w:t>
      </w:r>
      <w:bookmarkEnd w:id="17"/>
    </w:p>
    <w:p>
      <w:pPr>
        <w:spacing w:line="360" w:lineRule="auto"/>
        <w:ind w:firstLine="482" w:firstLineChars="200"/>
        <w:rPr>
          <w:rFonts w:ascii="宋体" w:hAnsi="宋体" w:cs="宋体"/>
          <w:b/>
          <w:bCs/>
        </w:rPr>
      </w:pPr>
      <w:r>
        <w:rPr>
          <w:rFonts w:hint="eastAsia" w:ascii="宋体" w:hAnsi="宋体" w:cs="宋体"/>
          <w:b/>
          <w:bCs/>
        </w:rPr>
        <w:t>19、供应商应在采购文件规定的投标截止时间前，将响应文件按规定密封后送达开标地点。投标截止时间以后送达的响应件将被拒绝。</w:t>
      </w:r>
    </w:p>
    <w:p>
      <w:pPr>
        <w:spacing w:line="360" w:lineRule="auto"/>
        <w:ind w:firstLine="482" w:firstLineChars="200"/>
        <w:rPr>
          <w:rFonts w:ascii="宋体" w:hAnsi="宋体" w:cs="宋体"/>
          <w:b/>
          <w:bCs/>
        </w:rPr>
      </w:pPr>
      <w:r>
        <w:rPr>
          <w:rFonts w:hint="eastAsia" w:ascii="宋体" w:hAnsi="宋体" w:cs="宋体"/>
          <w:b/>
          <w:bCs/>
        </w:rPr>
        <w:t>20、迟交的投标文件及响应文件的修改和撤回</w:t>
      </w:r>
    </w:p>
    <w:p>
      <w:pPr>
        <w:spacing w:line="360" w:lineRule="auto"/>
        <w:ind w:firstLine="480" w:firstLineChars="200"/>
        <w:rPr>
          <w:rFonts w:ascii="宋体" w:hAnsi="宋体" w:cs="宋体"/>
        </w:rPr>
      </w:pPr>
      <w:r>
        <w:rPr>
          <w:rFonts w:hint="eastAsia" w:ascii="宋体" w:hAnsi="宋体" w:cs="宋体"/>
        </w:rPr>
        <w:t>20.1代理机构将拒绝并原封退回在其规定的截止日期后收到的任何响应文件。</w:t>
      </w:r>
    </w:p>
    <w:p>
      <w:pPr>
        <w:spacing w:line="360" w:lineRule="auto"/>
        <w:ind w:firstLine="480" w:firstLineChars="200"/>
        <w:rPr>
          <w:rFonts w:ascii="宋体" w:hAnsi="宋体" w:cs="宋体"/>
        </w:rPr>
      </w:pPr>
      <w:r>
        <w:rPr>
          <w:rFonts w:hint="eastAsia" w:ascii="宋体" w:hAnsi="宋体" w:cs="宋体"/>
        </w:rPr>
        <w:t>20.2供应商在递交响应文件后，可以修改或撤回其响应文件，但这种修改和撤回，必须在规定的投标截止日期前，以书面形式递交代理机构。</w:t>
      </w:r>
    </w:p>
    <w:p>
      <w:pPr>
        <w:spacing w:line="360" w:lineRule="auto"/>
        <w:ind w:firstLine="480" w:firstLineChars="200"/>
        <w:rPr>
          <w:rFonts w:ascii="宋体" w:hAnsi="宋体" w:cs="宋体"/>
        </w:rPr>
      </w:pPr>
      <w:r>
        <w:rPr>
          <w:rFonts w:hint="eastAsia" w:ascii="宋体" w:hAnsi="宋体" w:cs="宋体"/>
        </w:rPr>
        <w:t>20.3在投标截止日期之后，供应商不得对其响应文件做任何修改。</w:t>
      </w:r>
    </w:p>
    <w:p>
      <w:pPr>
        <w:pStyle w:val="2"/>
      </w:pPr>
      <w:bookmarkStart w:id="18" w:name="_Toc16937"/>
      <w:r>
        <w:rPr>
          <w:rFonts w:hint="eastAsia"/>
        </w:rPr>
        <w:t>五、开标与评标</w:t>
      </w:r>
      <w:bookmarkEnd w:id="18"/>
    </w:p>
    <w:p>
      <w:pPr>
        <w:spacing w:line="360" w:lineRule="auto"/>
        <w:rPr>
          <w:rFonts w:ascii="宋体" w:hAnsi="宋体" w:cs="宋体"/>
          <w:b/>
          <w:bCs/>
        </w:rPr>
      </w:pPr>
      <w:bookmarkStart w:id="19" w:name="_Toc183582232"/>
      <w:bookmarkStart w:id="20" w:name="_Toc183682369"/>
      <w:bookmarkStart w:id="21" w:name="_Toc217446057"/>
      <w:r>
        <w:rPr>
          <w:rFonts w:hint="eastAsia" w:ascii="宋体" w:hAnsi="宋体" w:cs="宋体"/>
          <w:b/>
          <w:bCs/>
        </w:rPr>
        <w:t>21．开标</w:t>
      </w:r>
      <w:bookmarkEnd w:id="19"/>
      <w:bookmarkEnd w:id="20"/>
      <w:bookmarkEnd w:id="21"/>
    </w:p>
    <w:p>
      <w:pPr>
        <w:spacing w:line="360" w:lineRule="auto"/>
        <w:ind w:firstLine="480" w:firstLineChars="200"/>
        <w:rPr>
          <w:rFonts w:ascii="宋体" w:hAnsi="宋体" w:cs="宋体"/>
        </w:rPr>
      </w:pPr>
      <w:r>
        <w:rPr>
          <w:rFonts w:hint="eastAsia" w:ascii="宋体" w:hAnsi="宋体" w:cs="宋体"/>
        </w:rPr>
        <w:t>21.1 采购代理机构在采购文件规定的时间和地点组织公开开标。</w:t>
      </w:r>
    </w:p>
    <w:p>
      <w:pPr>
        <w:spacing w:line="360" w:lineRule="auto"/>
        <w:ind w:firstLine="480" w:firstLineChars="200"/>
        <w:rPr>
          <w:rFonts w:ascii="宋体" w:hAnsi="宋体" w:cs="宋体"/>
        </w:rPr>
      </w:pPr>
      <w:r>
        <w:rPr>
          <w:rFonts w:hint="eastAsia" w:ascii="宋体" w:hAnsi="宋体" w:cs="宋体"/>
        </w:rPr>
        <w:t>21.2开标会由招标代理机构主持，采购人和有关方面代表参加。供应商须派代表参加并签到以证明其出席，投标单位法定代表人或其授权代表参加开标时必须携带有效身份证明原件。</w:t>
      </w:r>
    </w:p>
    <w:p>
      <w:pPr>
        <w:spacing w:line="360" w:lineRule="auto"/>
        <w:ind w:firstLine="480" w:firstLineChars="200"/>
        <w:rPr>
          <w:rFonts w:ascii="宋体" w:hAnsi="宋体" w:cs="宋体"/>
        </w:rPr>
      </w:pPr>
      <w:r>
        <w:rPr>
          <w:rFonts w:hint="eastAsia" w:ascii="宋体" w:hAnsi="宋体" w:cs="宋体"/>
        </w:rPr>
        <w:t>21.3 开标时，由监督单位代表或供应商授权代表检查响应文件的密封情况，对符合密封要求的响应文件按照提交响应文件时间的先后顺序（或者逆顺序）当场逐一拆封，由开标会主持人宣唱并记录各供应商的报价，唱标内容为“报价一览表”内容。招标代理机构对唱标内容作开标记录，由供应商代表签字确认。</w:t>
      </w:r>
    </w:p>
    <w:p>
      <w:pPr>
        <w:spacing w:line="360" w:lineRule="auto"/>
        <w:ind w:firstLine="480" w:firstLineChars="200"/>
        <w:rPr>
          <w:rFonts w:ascii="宋体" w:hAnsi="宋体" w:cs="宋体"/>
        </w:rPr>
      </w:pPr>
      <w:r>
        <w:rPr>
          <w:rFonts w:hint="eastAsia" w:ascii="宋体" w:hAnsi="宋体" w:cs="宋体"/>
        </w:rPr>
        <w:t>21.4 开标时，“报价一览表”中的大写金额与小写金额不一致的，以大写金额为准；总价金额与按单价计算的汇总金额不一致的，以单价计算的汇总金额为准；单价金额有明显小数点错误的，以总价为准，并修改单价。</w:t>
      </w:r>
    </w:p>
    <w:p>
      <w:pPr>
        <w:spacing w:line="360" w:lineRule="auto"/>
        <w:ind w:firstLine="480" w:firstLineChars="200"/>
        <w:rPr>
          <w:rFonts w:ascii="宋体" w:hAnsi="宋体" w:cs="宋体"/>
        </w:rPr>
      </w:pPr>
      <w:r>
        <w:rPr>
          <w:rFonts w:hint="eastAsia" w:ascii="宋体" w:hAnsi="宋体" w:cs="宋体"/>
        </w:rPr>
        <w:t>21.5 响应文件中有关明细表内容与“报价一览表”不一致的，以“报价一览表”为准。对不同文字文本投标文件的解释发生异议的，以中文文本为准。</w:t>
      </w:r>
    </w:p>
    <w:p>
      <w:pPr>
        <w:spacing w:line="360" w:lineRule="auto"/>
        <w:ind w:firstLine="480" w:firstLineChars="200"/>
        <w:rPr>
          <w:rFonts w:ascii="宋体" w:hAnsi="宋体" w:cs="宋体"/>
        </w:rPr>
      </w:pPr>
      <w:r>
        <w:rPr>
          <w:rFonts w:hint="eastAsia" w:ascii="宋体" w:hAnsi="宋体" w:cs="宋体"/>
        </w:rPr>
        <w:t>21.6 所有投标唱标完毕，如供应商代表对宣读的“报价一览表”上的内容有异议的，应在获得开标会主持人同意后当场提出。如确实属于唱标人员宣读错误的，经现场监督人员核实后，当场予以更正。</w:t>
      </w:r>
    </w:p>
    <w:p>
      <w:pPr>
        <w:keepNext w:val="0"/>
        <w:keepLines w:val="0"/>
        <w:widowControl/>
        <w:suppressLineNumbers w:val="0"/>
        <w:spacing w:line="360" w:lineRule="auto"/>
        <w:jc w:val="left"/>
        <w:rPr>
          <w:rFonts w:ascii="宋体" w:hAnsi="宋体" w:cs="宋体"/>
          <w:b/>
          <w:bCs/>
        </w:rPr>
      </w:pPr>
      <w:bookmarkStart w:id="22" w:name="_Toc217446058"/>
      <w:r>
        <w:rPr>
          <w:rFonts w:hint="eastAsia" w:ascii="宋体" w:hAnsi="宋体" w:cs="宋体"/>
          <w:b/>
          <w:bCs/>
        </w:rPr>
        <w:t>22. 开标程序</w:t>
      </w:r>
      <w:bookmarkEnd w:id="22"/>
      <w:r>
        <w:rPr>
          <w:rFonts w:hint="eastAsia" w:ascii="宋体" w:hAnsi="宋体" w:cs="宋体"/>
          <w:b/>
          <w:bCs/>
          <w:lang w:val="en-US" w:eastAsia="zh-CN"/>
        </w:rPr>
        <w:t xml:space="preserve">(电子标，不见面开标) </w:t>
      </w:r>
    </w:p>
    <w:p>
      <w:pPr>
        <w:spacing w:line="360" w:lineRule="auto"/>
        <w:ind w:firstLine="480" w:firstLineChars="200"/>
        <w:rPr>
          <w:rFonts w:hint="eastAsia" w:ascii="宋体" w:hAnsi="宋体" w:cs="宋体"/>
        </w:rPr>
      </w:pPr>
      <w:bookmarkStart w:id="23" w:name="_Toc217446059"/>
      <w:r>
        <w:rPr>
          <w:rFonts w:hint="eastAsia" w:ascii="宋体" w:hAnsi="宋体" w:cs="宋体"/>
          <w:lang w:val="en-US" w:eastAsia="zh-CN"/>
        </w:rPr>
        <w:t>严格按照不见面电子标操作手册进行</w:t>
      </w:r>
    </w:p>
    <w:p>
      <w:pPr>
        <w:spacing w:line="360" w:lineRule="auto"/>
        <w:rPr>
          <w:rFonts w:ascii="宋体" w:hAnsi="宋体" w:cs="宋体"/>
          <w:b/>
          <w:bCs/>
        </w:rPr>
      </w:pPr>
      <w:r>
        <w:rPr>
          <w:rFonts w:hint="eastAsia" w:ascii="宋体" w:hAnsi="宋体" w:cs="宋体"/>
          <w:b/>
          <w:bCs/>
        </w:rPr>
        <w:t>23. 评标</w:t>
      </w:r>
      <w:bookmarkEnd w:id="23"/>
    </w:p>
    <w:p>
      <w:pPr>
        <w:spacing w:line="360" w:lineRule="auto"/>
        <w:rPr>
          <w:rFonts w:ascii="宋体" w:hAnsi="宋体" w:cs="宋体"/>
        </w:rPr>
      </w:pPr>
      <w:r>
        <w:rPr>
          <w:rFonts w:hint="eastAsia" w:ascii="宋体" w:hAnsi="宋体" w:cs="宋体"/>
        </w:rPr>
        <w:t xml:space="preserve">    23.1 评标工作由采购代理机构依法组建的评标委员会（以下简称评委会）负责。评委会由采购人代表和技术、经济等方面的专家组成。成员为</w:t>
      </w:r>
      <w:r>
        <w:rPr>
          <w:rFonts w:hint="eastAsia" w:ascii="宋体" w:hAnsi="宋体" w:cs="宋体"/>
          <w:lang w:val="en-US" w:eastAsia="zh-CN"/>
        </w:rPr>
        <w:t>5</w:t>
      </w:r>
      <w:r>
        <w:rPr>
          <w:rFonts w:hint="eastAsia" w:ascii="宋体" w:hAnsi="宋体" w:cs="宋体"/>
        </w:rPr>
        <w:t>人，专家不能少于三分之二，从专家库中随机抽取。</w:t>
      </w:r>
    </w:p>
    <w:p>
      <w:pPr>
        <w:spacing w:line="360" w:lineRule="auto"/>
        <w:ind w:firstLine="480" w:firstLineChars="200"/>
        <w:rPr>
          <w:rFonts w:ascii="宋体" w:hAnsi="宋体" w:cs="宋体"/>
        </w:rPr>
      </w:pPr>
      <w:r>
        <w:rPr>
          <w:rFonts w:hint="eastAsia" w:ascii="宋体" w:hAnsi="宋体" w:cs="宋体"/>
        </w:rPr>
        <w:t>23.2 评委会严格按照《中华人民共和国政府采购法》及其实施条例、《政府采购货物和服务招标投标管理办法》（财政部第</w:t>
      </w:r>
      <w:r>
        <w:rPr>
          <w:rFonts w:hint="eastAsia" w:ascii="宋体" w:hAnsi="宋体" w:cs="宋体"/>
          <w:lang w:val="en-US" w:eastAsia="zh-CN"/>
        </w:rPr>
        <w:t>87</w:t>
      </w:r>
      <w:r>
        <w:rPr>
          <w:rFonts w:hint="eastAsia" w:ascii="宋体" w:hAnsi="宋体" w:cs="宋体"/>
        </w:rPr>
        <w:t>号令）和有关法律法规规定的程序和采购文件规定的评分办法及标准对投标文件进行评审打分。</w:t>
      </w:r>
    </w:p>
    <w:p>
      <w:pPr>
        <w:spacing w:line="360" w:lineRule="auto"/>
        <w:ind w:firstLine="480" w:firstLineChars="200"/>
        <w:rPr>
          <w:rFonts w:ascii="宋体" w:hAnsi="宋体" w:cs="宋体"/>
        </w:rPr>
      </w:pPr>
      <w:r>
        <w:rPr>
          <w:rFonts w:hint="eastAsia" w:ascii="宋体" w:hAnsi="宋体" w:cs="宋体"/>
        </w:rPr>
        <w:t>23.3 评标过程严格保密。供应商对评委会的评标过程或合同授予决定施加影响的任何行为都可能导致其投标被拒绝。</w:t>
      </w:r>
    </w:p>
    <w:p>
      <w:pPr>
        <w:spacing w:line="360" w:lineRule="auto"/>
        <w:ind w:firstLine="480" w:firstLineChars="200"/>
        <w:rPr>
          <w:rFonts w:ascii="宋体" w:hAnsi="宋体" w:cs="宋体"/>
        </w:rPr>
      </w:pPr>
      <w:r>
        <w:rPr>
          <w:rFonts w:hint="eastAsia" w:ascii="宋体" w:hAnsi="宋体" w:cs="宋体"/>
        </w:rPr>
        <w:t>23.4 在评标期间，评委会可要求供应商对其投标文件中非实质性的有关问题进行澄清、说明或者补正。有关澄清、说明或者补正的要求和答复应以书面形式提交。供应商的澄清、说明或者补正不得超出投标文件的范围或者改变投标文件的实质性内容。</w:t>
      </w:r>
    </w:p>
    <w:p>
      <w:pPr>
        <w:spacing w:line="360" w:lineRule="auto"/>
        <w:ind w:firstLine="480" w:firstLineChars="200"/>
        <w:rPr>
          <w:rFonts w:ascii="宋体" w:hAnsi="宋体" w:cs="宋体"/>
        </w:rPr>
      </w:pPr>
      <w:r>
        <w:rPr>
          <w:rFonts w:hint="eastAsia" w:ascii="宋体" w:hAnsi="宋体" w:cs="宋体"/>
        </w:rPr>
        <w:t>23.5评标委员会将确定每一投标方是否对采购文件做出了实质性响应，实质性响应的投标是指投标符合采购文件的所有条款、条件和要求，而无重大偏离和保留。重大偏离和保留是指影响到采购文件规定的范围、质量和性能，或限制了招标方、采购人的权利和投标方的义务的规定，而纠正这些偏差将影响到其它提交实质性响应投标的投标方的公平竞争地位。评委会决定投标文件的响应性依据投标文件本身的内容，而不寻求外部的证据。</w:t>
      </w:r>
    </w:p>
    <w:p>
      <w:pPr>
        <w:spacing w:line="360" w:lineRule="auto"/>
        <w:ind w:firstLine="480" w:firstLineChars="200"/>
        <w:rPr>
          <w:rFonts w:ascii="宋体" w:hAnsi="宋体" w:cs="宋体"/>
        </w:rPr>
      </w:pPr>
      <w:r>
        <w:rPr>
          <w:rFonts w:hint="eastAsia" w:ascii="宋体" w:hAnsi="宋体" w:cs="宋体"/>
        </w:rPr>
        <w:t>23.6 如果投标文件没有实质性响应采购文件的要求，评委会将予以拒绝。供应商不得通过修正或撤消不合要求的偏离或保留从而使其投标成为实质性响应的投标。</w:t>
      </w:r>
    </w:p>
    <w:p>
      <w:pPr>
        <w:spacing w:line="360" w:lineRule="auto"/>
        <w:ind w:firstLine="480" w:firstLineChars="200"/>
        <w:rPr>
          <w:rFonts w:ascii="宋体" w:hAnsi="宋体" w:cs="宋体"/>
        </w:rPr>
      </w:pPr>
      <w:r>
        <w:rPr>
          <w:rFonts w:hint="eastAsia" w:ascii="宋体" w:hAnsi="宋体" w:cs="宋体"/>
        </w:rPr>
        <w:t>23.7 投标文件有下列情况的，在资格性、符合性审查时按照无效投标处理：</w:t>
      </w:r>
    </w:p>
    <w:p>
      <w:pPr>
        <w:spacing w:line="360" w:lineRule="auto"/>
        <w:ind w:firstLine="480" w:firstLineChars="200"/>
        <w:rPr>
          <w:rFonts w:ascii="宋体" w:hAnsi="宋体" w:cs="宋体"/>
        </w:rPr>
      </w:pPr>
      <w:r>
        <w:rPr>
          <w:rFonts w:hint="eastAsia" w:ascii="宋体" w:hAnsi="宋体" w:cs="宋体"/>
        </w:rPr>
        <w:t>（1）供应商以他人名义投标、串通投标或以其他弄虚作假方式投标的；；</w:t>
      </w:r>
    </w:p>
    <w:p>
      <w:pPr>
        <w:spacing w:line="360" w:lineRule="auto"/>
        <w:ind w:firstLine="480" w:firstLineChars="200"/>
        <w:rPr>
          <w:rFonts w:ascii="宋体" w:hAnsi="宋体" w:cs="宋体"/>
        </w:rPr>
      </w:pPr>
      <w:r>
        <w:rPr>
          <w:rFonts w:hint="eastAsia" w:ascii="宋体" w:hAnsi="宋体" w:cs="宋体"/>
        </w:rPr>
        <w:t>（2）投标文件未按采购文件要求装订、密封、签署、盖章的；</w:t>
      </w:r>
    </w:p>
    <w:p>
      <w:pPr>
        <w:spacing w:line="360" w:lineRule="auto"/>
        <w:ind w:firstLine="480" w:firstLineChars="200"/>
        <w:rPr>
          <w:rFonts w:ascii="宋体" w:hAnsi="宋体" w:cs="宋体"/>
        </w:rPr>
      </w:pPr>
      <w:r>
        <w:rPr>
          <w:rFonts w:hint="eastAsia" w:ascii="宋体" w:hAnsi="宋体" w:cs="宋体"/>
        </w:rPr>
        <w:t>（3）资格证明文件不全，或不满足采购文件规定的供应商资质要求的；</w:t>
      </w:r>
    </w:p>
    <w:p>
      <w:pPr>
        <w:spacing w:line="360" w:lineRule="auto"/>
        <w:ind w:firstLine="480" w:firstLineChars="200"/>
        <w:rPr>
          <w:rFonts w:ascii="宋体" w:hAnsi="宋体" w:cs="宋体"/>
        </w:rPr>
      </w:pPr>
      <w:r>
        <w:rPr>
          <w:rFonts w:hint="eastAsia" w:ascii="宋体" w:hAnsi="宋体" w:cs="宋体"/>
        </w:rPr>
        <w:t>（4）投标文件附有采购人不能接受的条件的；</w:t>
      </w:r>
    </w:p>
    <w:p>
      <w:pPr>
        <w:spacing w:line="360" w:lineRule="auto"/>
        <w:ind w:firstLine="480" w:firstLineChars="200"/>
        <w:rPr>
          <w:rFonts w:ascii="宋体" w:hAnsi="宋体" w:cs="宋体"/>
        </w:rPr>
      </w:pPr>
      <w:r>
        <w:rPr>
          <w:rFonts w:hint="eastAsia" w:ascii="宋体" w:hAnsi="宋体" w:cs="宋体"/>
        </w:rPr>
        <w:t>（5）供应商的报价高于采购预算价的；</w:t>
      </w:r>
    </w:p>
    <w:p>
      <w:pPr>
        <w:spacing w:line="360" w:lineRule="auto"/>
        <w:ind w:firstLine="480" w:firstLineChars="200"/>
        <w:rPr>
          <w:rFonts w:ascii="宋体" w:hAnsi="宋体" w:cs="宋体"/>
        </w:rPr>
      </w:pPr>
      <w:r>
        <w:rPr>
          <w:rFonts w:hint="eastAsia" w:ascii="宋体" w:hAnsi="宋体" w:cs="宋体"/>
        </w:rPr>
        <w:t>（6）投标有效期不满足采购文件要求的；</w:t>
      </w:r>
    </w:p>
    <w:p>
      <w:pPr>
        <w:spacing w:line="360" w:lineRule="auto"/>
        <w:ind w:firstLine="480" w:firstLineChars="200"/>
        <w:rPr>
          <w:rFonts w:ascii="宋体" w:hAnsi="宋体" w:cs="宋体"/>
        </w:rPr>
      </w:pPr>
      <w:r>
        <w:rPr>
          <w:rFonts w:hint="eastAsia" w:ascii="宋体" w:hAnsi="宋体" w:cs="宋体"/>
        </w:rPr>
        <w:t>（7）投标内容与招标内容及要求有重大偏离或保留；</w:t>
      </w:r>
    </w:p>
    <w:p>
      <w:pPr>
        <w:spacing w:line="360" w:lineRule="auto"/>
        <w:rPr>
          <w:rFonts w:ascii="宋体" w:hAnsi="宋体" w:cs="宋体"/>
        </w:rPr>
      </w:pPr>
      <w:r>
        <w:rPr>
          <w:rFonts w:hint="eastAsia" w:ascii="宋体" w:hAnsi="宋体" w:cs="宋体"/>
        </w:rPr>
        <w:t xml:space="preserve">    （8）投标文件的格式或组成不符合采购文件要求的；</w:t>
      </w:r>
    </w:p>
    <w:p>
      <w:pPr>
        <w:spacing w:line="360" w:lineRule="auto"/>
        <w:ind w:firstLine="480" w:firstLineChars="200"/>
        <w:rPr>
          <w:rFonts w:ascii="宋体" w:hAnsi="宋体" w:cs="宋体"/>
        </w:rPr>
      </w:pPr>
      <w:bookmarkStart w:id="24" w:name="_Toc183682370"/>
      <w:bookmarkStart w:id="25" w:name="_Toc183582233"/>
      <w:r>
        <w:rPr>
          <w:rFonts w:hint="eastAsia" w:ascii="宋体" w:hAnsi="宋体" w:cs="宋体"/>
        </w:rPr>
        <w:t>（</w:t>
      </w:r>
      <w:r>
        <w:rPr>
          <w:rFonts w:hint="eastAsia" w:ascii="宋体" w:hAnsi="宋体" w:cs="宋体"/>
          <w:lang w:val="en-US" w:eastAsia="zh-CN"/>
        </w:rPr>
        <w:t>9</w:t>
      </w:r>
      <w:r>
        <w:rPr>
          <w:rFonts w:hint="eastAsia" w:ascii="宋体" w:hAnsi="宋体" w:cs="宋体"/>
        </w:rPr>
        <w:t>）所投产品与采购文件要求存在技术偏差，却未在技术规格偏离表中注明，而是简单照抄采购文件技术参数的；</w:t>
      </w:r>
    </w:p>
    <w:bookmarkEnd w:id="24"/>
    <w:bookmarkEnd w:id="25"/>
    <w:p>
      <w:pPr>
        <w:spacing w:line="360" w:lineRule="auto"/>
        <w:rPr>
          <w:rFonts w:ascii="宋体" w:hAnsi="宋体" w:cs="宋体"/>
        </w:rPr>
      </w:pPr>
      <w:bookmarkStart w:id="26" w:name="_Toc217446060"/>
      <w:r>
        <w:rPr>
          <w:rFonts w:hint="eastAsia" w:ascii="宋体" w:hAnsi="宋体" w:cs="宋体"/>
        </w:rPr>
        <w:t xml:space="preserve">    （</w:t>
      </w:r>
      <w:r>
        <w:rPr>
          <w:rFonts w:hint="eastAsia" w:ascii="宋体" w:hAnsi="宋体" w:cs="宋体"/>
          <w:lang w:val="en-US" w:eastAsia="zh-CN"/>
        </w:rPr>
        <w:t>10</w:t>
      </w:r>
      <w:r>
        <w:rPr>
          <w:rFonts w:hint="eastAsia" w:ascii="宋体" w:hAnsi="宋体" w:cs="宋体"/>
        </w:rPr>
        <w:t>） 若供应商的报价明显低于</w:t>
      </w:r>
      <w:r>
        <w:rPr>
          <w:rFonts w:hint="eastAsia" w:ascii="宋体" w:hAnsi="宋体" w:cs="宋体"/>
          <w:lang w:eastAsia="zh-CN"/>
        </w:rPr>
        <w:t>控制价的</w:t>
      </w:r>
      <w:r>
        <w:rPr>
          <w:rFonts w:hint="eastAsia" w:ascii="宋体" w:hAnsi="宋体" w:cs="宋体"/>
          <w:lang w:val="en-US" w:eastAsia="zh-CN"/>
        </w:rPr>
        <w:t>20%</w:t>
      </w:r>
      <w:r>
        <w:rPr>
          <w:rFonts w:hint="eastAsia" w:ascii="宋体" w:hAnsi="宋体" w:cs="宋体"/>
        </w:rPr>
        <w:t>，有可能影响商品质量或不能诚信履约的，供应商应按评标委员会要求作出书面说明并提供相关证明材料，不能合理说明或不能提供相关证明材料的，作无效投标处理。</w:t>
      </w:r>
    </w:p>
    <w:p>
      <w:pPr>
        <w:spacing w:line="360" w:lineRule="auto"/>
        <w:ind w:firstLine="480" w:firstLineChars="200"/>
        <w:rPr>
          <w:rFonts w:ascii="宋体" w:hAnsi="宋体" w:cs="宋体"/>
        </w:rPr>
      </w:pPr>
      <w:r>
        <w:rPr>
          <w:rFonts w:hint="eastAsia" w:ascii="宋体" w:hAnsi="宋体" w:cs="宋体"/>
        </w:rPr>
        <w:t>23.8 评委会只对确定为实质性响应采购文件要求的投标文件，根据采购文件的要求采用相同的评标程序、评分办法及标准进行评价和比较。</w:t>
      </w:r>
    </w:p>
    <w:p>
      <w:pPr>
        <w:spacing w:line="360" w:lineRule="auto"/>
        <w:ind w:firstLine="480" w:firstLineChars="200"/>
        <w:rPr>
          <w:rFonts w:ascii="宋体" w:hAnsi="宋体" w:cs="宋体"/>
        </w:rPr>
      </w:pPr>
      <w:r>
        <w:rPr>
          <w:rFonts w:hint="eastAsia" w:ascii="宋体" w:hAnsi="宋体" w:cs="宋体"/>
        </w:rPr>
        <w:t>23.9 在评标期间，若出现符合本须知规定的所有投标条件的有效供应商不足三家情形的，本次招标程序暂停，按下列规定进行：</w:t>
      </w:r>
    </w:p>
    <w:p>
      <w:pPr>
        <w:spacing w:line="360" w:lineRule="auto"/>
        <w:ind w:firstLine="480" w:firstLineChars="200"/>
        <w:rPr>
          <w:rFonts w:ascii="宋体" w:hAnsi="宋体" w:cs="宋体"/>
        </w:rPr>
      </w:pPr>
      <w:r>
        <w:rPr>
          <w:rFonts w:hint="eastAsia" w:ascii="宋体" w:hAnsi="宋体" w:cs="宋体"/>
        </w:rPr>
        <w:t>同级政府采购管理部门（相关部门）或采购人认为应重新组织采购活动的、采购文件存在不合理限制条款的、招标程序不附合法律规定的、评委会认为缺乏充分竞争的，除采购任务取消外，招标采购单位须依法重新组织招标，或者采取其他方式重新组织采购活动。</w:t>
      </w:r>
    </w:p>
    <w:p>
      <w:pPr>
        <w:spacing w:line="360" w:lineRule="auto"/>
        <w:ind w:firstLine="480" w:firstLineChars="200"/>
        <w:rPr>
          <w:rFonts w:ascii="宋体" w:hAnsi="宋体" w:cs="宋体"/>
        </w:rPr>
      </w:pPr>
      <w:r>
        <w:rPr>
          <w:rFonts w:hint="eastAsia" w:ascii="宋体" w:hAnsi="宋体" w:cs="宋体"/>
        </w:rPr>
        <w:t>23.10 具体评分标准见第五章。</w:t>
      </w:r>
    </w:p>
    <w:bookmarkEnd w:id="26"/>
    <w:p>
      <w:pPr>
        <w:spacing w:line="360" w:lineRule="auto"/>
        <w:rPr>
          <w:rFonts w:ascii="宋体" w:hAnsi="宋体" w:cs="宋体"/>
          <w:b/>
          <w:bCs/>
        </w:rPr>
      </w:pPr>
      <w:bookmarkStart w:id="27" w:name="_Toc217446061"/>
      <w:r>
        <w:rPr>
          <w:rFonts w:hint="eastAsia" w:ascii="宋体" w:hAnsi="宋体" w:cs="宋体"/>
          <w:b/>
          <w:bCs/>
        </w:rPr>
        <w:t>24. 定标原则</w:t>
      </w:r>
      <w:bookmarkEnd w:id="27"/>
    </w:p>
    <w:p>
      <w:pPr>
        <w:spacing w:line="360" w:lineRule="auto"/>
        <w:ind w:firstLine="480" w:firstLineChars="200"/>
        <w:rPr>
          <w:rFonts w:ascii="宋体" w:hAnsi="宋体" w:cs="宋体"/>
        </w:rPr>
      </w:pPr>
      <w:r>
        <w:rPr>
          <w:rFonts w:hint="eastAsia" w:ascii="宋体" w:hAnsi="宋体" w:cs="宋体"/>
        </w:rPr>
        <w:t>经评委会评审，供应商的投标文件符合采购文件要求，按照评标标准、方法，按综合得分由高到低排序，推荐1-3名中标候选人。</w:t>
      </w:r>
      <w:bookmarkStart w:id="28" w:name="_Toc217446062"/>
    </w:p>
    <w:p>
      <w:pPr>
        <w:spacing w:line="360" w:lineRule="auto"/>
        <w:rPr>
          <w:rFonts w:ascii="宋体" w:hAnsi="宋体" w:cs="宋体"/>
        </w:rPr>
      </w:pPr>
      <w:r>
        <w:rPr>
          <w:rFonts w:hint="eastAsia" w:ascii="宋体" w:hAnsi="宋体" w:cs="宋体"/>
          <w:b/>
          <w:bCs/>
        </w:rPr>
        <w:t>25. 定标程序</w:t>
      </w:r>
      <w:bookmarkEnd w:id="28"/>
    </w:p>
    <w:p>
      <w:pPr>
        <w:spacing w:line="360" w:lineRule="auto"/>
        <w:ind w:firstLine="480" w:firstLineChars="200"/>
        <w:rPr>
          <w:rFonts w:ascii="宋体" w:hAnsi="宋体" w:cs="宋体"/>
        </w:rPr>
      </w:pPr>
      <w:r>
        <w:rPr>
          <w:rFonts w:hint="eastAsia" w:ascii="宋体" w:hAnsi="宋体" w:cs="宋体"/>
        </w:rPr>
        <w:t xml:space="preserve"> 25.1 评委会将评标情况写出书面报告，推荐1-3名中标候选人，并按照综合得分由高到低标明排列顺序。综合得分相同的，按投标报价由低到高顺序排列。得分且投标报价相同的，按技术指标优劣顺序排列。</w:t>
      </w:r>
    </w:p>
    <w:p>
      <w:pPr>
        <w:spacing w:line="360" w:lineRule="auto"/>
        <w:ind w:firstLine="480" w:firstLineChars="200"/>
        <w:rPr>
          <w:rFonts w:ascii="宋体" w:hAnsi="宋体" w:cs="宋体"/>
        </w:rPr>
      </w:pPr>
      <w:r>
        <w:rPr>
          <w:rFonts w:hint="eastAsia" w:ascii="宋体" w:hAnsi="宋体" w:cs="宋体"/>
        </w:rPr>
        <w:t>25.2 采购人代表对评标结果签字认可。</w:t>
      </w:r>
    </w:p>
    <w:p>
      <w:pPr>
        <w:spacing w:line="360" w:lineRule="auto"/>
        <w:ind w:firstLine="480" w:firstLineChars="200"/>
        <w:rPr>
          <w:rFonts w:ascii="宋体" w:hAnsi="宋体" w:cs="宋体"/>
        </w:rPr>
      </w:pPr>
      <w:r>
        <w:rPr>
          <w:rFonts w:hint="eastAsia" w:ascii="宋体" w:hAnsi="宋体" w:cs="宋体"/>
        </w:rPr>
        <w:t>25.3 没有法定的特殊情况，采购人应自行或授权评委会按照评标报告中推荐的中标候选人顺序确定中标人。</w:t>
      </w:r>
    </w:p>
    <w:p>
      <w:pPr>
        <w:spacing w:line="360" w:lineRule="auto"/>
        <w:ind w:firstLine="480" w:firstLineChars="200"/>
        <w:rPr>
          <w:rFonts w:ascii="宋体" w:hAnsi="宋体" w:cs="宋体"/>
        </w:rPr>
      </w:pPr>
      <w:r>
        <w:rPr>
          <w:rFonts w:hint="eastAsia" w:ascii="宋体" w:hAnsi="宋体" w:cs="宋体"/>
        </w:rPr>
        <w:t xml:space="preserve"> 25.4 招标采购单位在相应网上发布中标公告，同时向中标人发出中标通知书。</w:t>
      </w:r>
    </w:p>
    <w:p>
      <w:pPr>
        <w:spacing w:line="360" w:lineRule="auto"/>
        <w:ind w:firstLine="480" w:firstLineChars="200"/>
      </w:pPr>
      <w:r>
        <w:rPr>
          <w:rFonts w:hint="eastAsia" w:ascii="宋体" w:hAnsi="宋体" w:cs="宋体"/>
        </w:rPr>
        <w:t>25.5 招标采购单位不解释中标或落标原因，不退回投标文件和其他投标资料。</w:t>
      </w:r>
      <w:bookmarkStart w:id="29" w:name="_Toc183582238"/>
      <w:bookmarkStart w:id="30" w:name="_Toc183682375"/>
      <w:bookmarkStart w:id="31" w:name="_Toc217446063"/>
    </w:p>
    <w:p>
      <w:pPr>
        <w:spacing w:line="360" w:lineRule="auto"/>
        <w:rPr>
          <w:rFonts w:ascii="宋体" w:hAnsi="宋体" w:cs="宋体"/>
          <w:b/>
          <w:bCs/>
        </w:rPr>
      </w:pPr>
      <w:r>
        <w:rPr>
          <w:rFonts w:hint="eastAsia" w:ascii="宋体" w:hAnsi="宋体" w:cs="宋体"/>
          <w:b/>
          <w:bCs/>
        </w:rPr>
        <w:t>26．中标通知</w:t>
      </w:r>
      <w:bookmarkEnd w:id="29"/>
      <w:bookmarkEnd w:id="30"/>
      <w:r>
        <w:rPr>
          <w:rFonts w:hint="eastAsia" w:ascii="宋体" w:hAnsi="宋体" w:cs="宋体"/>
          <w:b/>
          <w:bCs/>
        </w:rPr>
        <w:t>书</w:t>
      </w:r>
      <w:bookmarkEnd w:id="31"/>
    </w:p>
    <w:p>
      <w:pPr>
        <w:spacing w:line="360" w:lineRule="auto"/>
        <w:ind w:firstLine="480" w:firstLineChars="200"/>
        <w:rPr>
          <w:rFonts w:ascii="宋体" w:hAnsi="宋体" w:cs="宋体"/>
        </w:rPr>
      </w:pPr>
      <w:r>
        <w:rPr>
          <w:rFonts w:hint="eastAsia" w:ascii="宋体" w:hAnsi="宋体" w:cs="宋体"/>
        </w:rPr>
        <w:t>26.1 中标通知书为签订政府采购合同的依据，是合同的有效组成部分。</w:t>
      </w:r>
    </w:p>
    <w:p>
      <w:pPr>
        <w:spacing w:line="360" w:lineRule="auto"/>
        <w:ind w:firstLine="480" w:firstLineChars="200"/>
        <w:rPr>
          <w:rFonts w:ascii="宋体" w:hAnsi="宋体" w:cs="宋体"/>
        </w:rPr>
      </w:pPr>
      <w:r>
        <w:rPr>
          <w:rFonts w:hint="eastAsia" w:ascii="宋体" w:hAnsi="宋体" w:cs="宋体"/>
        </w:rPr>
        <w:t>26.2 中标通知书对采购人和中标人均具有法律效力。中标通知书发出后，采购人改变中标结果，或者中标人无正当理由放弃中标的，应当承担相应的法律责任。</w:t>
      </w:r>
    </w:p>
    <w:p>
      <w:pPr>
        <w:spacing w:line="360" w:lineRule="auto"/>
        <w:ind w:firstLine="480" w:firstLineChars="200"/>
        <w:rPr>
          <w:rFonts w:ascii="宋体" w:hAnsi="宋体" w:cs="宋体"/>
        </w:rPr>
      </w:pPr>
      <w:r>
        <w:rPr>
          <w:rFonts w:hint="eastAsia" w:ascii="宋体" w:hAnsi="宋体" w:cs="宋体"/>
        </w:rPr>
        <w:t>26.3 若有充分证据证明，中标候选人出现下列情况之一的，将被取消中标资格，收回中标通知书，并根据有关规定进行处理：</w:t>
      </w:r>
    </w:p>
    <w:p>
      <w:pPr>
        <w:spacing w:line="360" w:lineRule="auto"/>
        <w:ind w:firstLine="480" w:firstLineChars="200"/>
        <w:rPr>
          <w:rFonts w:ascii="宋体" w:hAnsi="宋体" w:cs="宋体"/>
        </w:rPr>
      </w:pPr>
      <w:r>
        <w:rPr>
          <w:rFonts w:hint="eastAsia" w:ascii="宋体" w:hAnsi="宋体" w:cs="宋体"/>
        </w:rPr>
        <w:t>（1）提供虚假材料谋取中标的；</w:t>
      </w:r>
    </w:p>
    <w:p>
      <w:pPr>
        <w:spacing w:line="360" w:lineRule="auto"/>
        <w:ind w:firstLine="480" w:firstLineChars="200"/>
        <w:rPr>
          <w:rFonts w:ascii="宋体" w:hAnsi="宋体" w:cs="宋体"/>
        </w:rPr>
      </w:pPr>
      <w:r>
        <w:rPr>
          <w:rFonts w:hint="eastAsia" w:ascii="宋体" w:hAnsi="宋体" w:cs="宋体"/>
        </w:rPr>
        <w:t>（2）采取不正当手段诋毁、排挤其他供应商的；</w:t>
      </w:r>
    </w:p>
    <w:p>
      <w:pPr>
        <w:spacing w:line="360" w:lineRule="auto"/>
        <w:ind w:firstLine="480" w:firstLineChars="200"/>
        <w:rPr>
          <w:rFonts w:ascii="宋体" w:hAnsi="宋体" w:cs="宋体"/>
        </w:rPr>
      </w:pPr>
      <w:r>
        <w:rPr>
          <w:rFonts w:hint="eastAsia" w:ascii="宋体" w:hAnsi="宋体" w:cs="宋体"/>
        </w:rPr>
        <w:t>（3）与采购人、其他供应商或者采购代理机构恶意串通的；</w:t>
      </w:r>
    </w:p>
    <w:p>
      <w:pPr>
        <w:spacing w:line="360" w:lineRule="auto"/>
        <w:ind w:firstLine="480" w:firstLineChars="200"/>
        <w:rPr>
          <w:rFonts w:ascii="宋体" w:hAnsi="宋体" w:cs="宋体"/>
        </w:rPr>
      </w:pPr>
      <w:r>
        <w:rPr>
          <w:rFonts w:hint="eastAsia" w:ascii="宋体" w:hAnsi="宋体" w:cs="宋体"/>
        </w:rPr>
        <w:t>（4）向采购人、采购代理机构行贿或者提供其他不正当利益的；</w:t>
      </w:r>
    </w:p>
    <w:p>
      <w:pPr>
        <w:spacing w:line="360" w:lineRule="auto"/>
        <w:ind w:firstLine="480" w:firstLineChars="200"/>
        <w:rPr>
          <w:rFonts w:ascii="宋体" w:hAnsi="宋体" w:cs="宋体"/>
        </w:rPr>
      </w:pPr>
      <w:r>
        <w:rPr>
          <w:rFonts w:hint="eastAsia" w:ascii="宋体" w:hAnsi="宋体" w:cs="宋体"/>
        </w:rPr>
        <w:t>（5）因不可抗力或者自身原因不能履行政府采购合同的；</w:t>
      </w:r>
    </w:p>
    <w:p>
      <w:pPr>
        <w:spacing w:line="360" w:lineRule="auto"/>
        <w:ind w:firstLine="480" w:firstLineChars="200"/>
        <w:rPr>
          <w:rFonts w:ascii="宋体" w:hAnsi="宋体" w:cs="宋体"/>
        </w:rPr>
      </w:pPr>
      <w:r>
        <w:rPr>
          <w:rFonts w:hint="eastAsia" w:ascii="宋体" w:hAnsi="宋体" w:cs="宋体"/>
        </w:rPr>
        <w:t>（6）不符合法律、法规规定的其他情形的。</w:t>
      </w:r>
    </w:p>
    <w:p>
      <w:pPr>
        <w:spacing w:line="360" w:lineRule="auto"/>
        <w:ind w:firstLine="480" w:firstLineChars="200"/>
        <w:rPr>
          <w:rFonts w:ascii="宋体" w:hAnsi="宋体" w:cs="宋体"/>
        </w:rPr>
      </w:pPr>
      <w:r>
        <w:rPr>
          <w:rFonts w:hint="eastAsia" w:ascii="宋体" w:hAnsi="宋体" w:cs="宋体"/>
          <w:lang w:eastAsia="zh-CN"/>
        </w:rPr>
        <w:t>若第一中标候选人出现上述情况</w:t>
      </w:r>
      <w:r>
        <w:rPr>
          <w:rFonts w:hint="eastAsia" w:ascii="宋体" w:hAnsi="宋体" w:cs="宋体"/>
        </w:rPr>
        <w:t>，报经同级政府采购管理部门（相关部门）批准，可将项目授予“综合得分次高”的下一个供应商，或者重新组织采购。</w:t>
      </w:r>
    </w:p>
    <w:p>
      <w:pPr>
        <w:pStyle w:val="2"/>
      </w:pPr>
      <w:bookmarkStart w:id="32" w:name="_Toc31938"/>
      <w:bookmarkStart w:id="33" w:name="_Toc4641"/>
      <w:bookmarkStart w:id="34" w:name="_Toc217446064"/>
      <w:bookmarkStart w:id="35" w:name="_Toc1973"/>
      <w:bookmarkStart w:id="36" w:name="_Toc183682377"/>
      <w:bookmarkStart w:id="37" w:name="_Toc183582240"/>
      <w:r>
        <w:rPr>
          <w:rFonts w:hint="eastAsia"/>
        </w:rPr>
        <w:t>六、签订及履行合同和验收</w:t>
      </w:r>
      <w:bookmarkEnd w:id="32"/>
      <w:bookmarkEnd w:id="33"/>
      <w:bookmarkEnd w:id="34"/>
      <w:bookmarkEnd w:id="35"/>
    </w:p>
    <w:p>
      <w:pPr>
        <w:spacing w:line="360" w:lineRule="auto"/>
        <w:rPr>
          <w:rFonts w:ascii="宋体" w:hAnsi="宋体" w:cs="宋体"/>
          <w:b/>
          <w:bCs/>
        </w:rPr>
      </w:pPr>
      <w:bookmarkStart w:id="38" w:name="_Toc217446065"/>
      <w:r>
        <w:rPr>
          <w:rFonts w:hint="eastAsia" w:ascii="宋体" w:hAnsi="宋体" w:cs="宋体"/>
          <w:b/>
          <w:bCs/>
        </w:rPr>
        <w:t>27. 签订合同</w:t>
      </w:r>
      <w:bookmarkEnd w:id="38"/>
    </w:p>
    <w:p>
      <w:pPr>
        <w:spacing w:line="360" w:lineRule="auto"/>
        <w:ind w:firstLine="480" w:firstLineChars="200"/>
        <w:rPr>
          <w:rFonts w:ascii="宋体" w:hAnsi="宋体" w:cs="宋体"/>
        </w:rPr>
      </w:pPr>
      <w:r>
        <w:rPr>
          <w:rFonts w:hint="eastAsia" w:ascii="宋体" w:hAnsi="宋体" w:cs="宋体"/>
        </w:rPr>
        <w:t>27.1 成交人在收到招标采购单位发出的《中标通知书》后，应在采购文件规定的时间内与采购人签订采购合同。采购文件没有规定的，应在10日内签订采购合同。由于成交人的原因逾期未与采购人签订采购合同的，将视为放弃中标，取消其中标资格并将按相关规定进行处理。</w:t>
      </w:r>
    </w:p>
    <w:p>
      <w:pPr>
        <w:spacing w:line="360" w:lineRule="auto"/>
        <w:ind w:firstLine="480" w:firstLineChars="200"/>
        <w:rPr>
          <w:rFonts w:ascii="宋体" w:hAnsi="宋体" w:cs="宋体"/>
        </w:rPr>
      </w:pPr>
      <w:r>
        <w:rPr>
          <w:rFonts w:hint="eastAsia" w:ascii="宋体" w:hAnsi="宋体" w:cs="宋体"/>
        </w:rPr>
        <w:t>27.2 采购文件、成交人的投标文件、答疑及澄清文件、中标通知书，都是签订合同的依据。合同签订后，以上文件均成为合同的组成部分。</w:t>
      </w:r>
    </w:p>
    <w:p>
      <w:pPr>
        <w:spacing w:line="360" w:lineRule="auto"/>
        <w:ind w:firstLine="480" w:firstLineChars="200"/>
        <w:rPr>
          <w:rFonts w:ascii="宋体" w:hAnsi="宋体" w:cs="宋体"/>
        </w:rPr>
      </w:pPr>
      <w:r>
        <w:rPr>
          <w:rFonts w:hint="eastAsia" w:ascii="宋体" w:hAnsi="宋体" w:cs="宋体"/>
        </w:rPr>
        <w:t>27.3采购人不得向成交人提出任何不合理的要求，作为签订合同的条件，不得与中标人私下订立背离合同实质性内容的任何协议，所签订的合同不得对采购文件和成交人投标文件作实质性修改。</w:t>
      </w:r>
      <w:bookmarkStart w:id="39" w:name="_Toc217446066"/>
    </w:p>
    <w:p>
      <w:pPr>
        <w:spacing w:line="360" w:lineRule="auto"/>
        <w:rPr>
          <w:rFonts w:ascii="宋体" w:hAnsi="宋体" w:cs="宋体"/>
        </w:rPr>
      </w:pPr>
      <w:r>
        <w:rPr>
          <w:rFonts w:hint="eastAsia" w:ascii="宋体" w:hAnsi="宋体" w:cs="宋体"/>
          <w:b/>
          <w:bCs/>
        </w:rPr>
        <w:t>28. 合同分包</w:t>
      </w:r>
      <w:bookmarkEnd w:id="39"/>
    </w:p>
    <w:p>
      <w:pPr>
        <w:spacing w:line="360" w:lineRule="auto"/>
        <w:rPr>
          <w:rFonts w:ascii="宋体" w:hAnsi="宋体" w:cs="宋体"/>
        </w:rPr>
      </w:pPr>
      <w:bookmarkStart w:id="40" w:name="_Toc217446067"/>
      <w:r>
        <w:rPr>
          <w:rFonts w:hint="eastAsia" w:ascii="宋体" w:hAnsi="宋体" w:cs="宋体"/>
        </w:rPr>
        <w:t xml:space="preserve">    不允许分包。</w:t>
      </w:r>
    </w:p>
    <w:p>
      <w:pPr>
        <w:spacing w:line="360" w:lineRule="auto"/>
        <w:rPr>
          <w:rFonts w:ascii="宋体" w:hAnsi="宋体" w:cs="宋体"/>
          <w:b/>
          <w:bCs/>
        </w:rPr>
      </w:pPr>
      <w:r>
        <w:rPr>
          <w:rFonts w:hint="eastAsia" w:ascii="宋体" w:hAnsi="宋体" w:cs="宋体"/>
          <w:b/>
          <w:bCs/>
        </w:rPr>
        <w:t>29. 采购人增加合同标的权</w:t>
      </w:r>
      <w:bookmarkEnd w:id="40"/>
      <w:r>
        <w:rPr>
          <w:rFonts w:hint="eastAsia" w:ascii="宋体" w:hAnsi="宋体" w:cs="宋体"/>
          <w:b/>
          <w:bCs/>
        </w:rPr>
        <w:t>利</w:t>
      </w:r>
    </w:p>
    <w:p>
      <w:pPr>
        <w:spacing w:line="360" w:lineRule="auto"/>
        <w:rPr>
          <w:rFonts w:ascii="宋体" w:hAnsi="宋体" w:cs="宋体"/>
        </w:rPr>
      </w:pPr>
      <w:r>
        <w:rPr>
          <w:rFonts w:hint="eastAsia" w:ascii="宋体" w:hAnsi="宋体" w:cs="宋体"/>
        </w:rPr>
        <w:t xml:space="preserve">      采购合同履行过程中，采购人需要追加与合同标的相同的货物或者服务的，经同级财政部门同意，在不改变合同其他条款的前提下，可以与中标供应商协商签订补充合同，但所有补充合同的采购金额不得超过原合同采购金额的百分之十。</w:t>
      </w:r>
      <w:bookmarkStart w:id="41" w:name="_Toc217446068"/>
    </w:p>
    <w:p>
      <w:pPr>
        <w:spacing w:line="360" w:lineRule="auto"/>
        <w:rPr>
          <w:rFonts w:ascii="宋体" w:hAnsi="宋体" w:cs="宋体"/>
          <w:b/>
          <w:bCs/>
        </w:rPr>
      </w:pPr>
      <w:r>
        <w:rPr>
          <w:rFonts w:hint="eastAsia" w:ascii="宋体" w:hAnsi="宋体" w:cs="宋体"/>
          <w:b/>
          <w:bCs/>
        </w:rPr>
        <w:t>30. 履约保证金</w:t>
      </w:r>
      <w:bookmarkEnd w:id="41"/>
    </w:p>
    <w:p>
      <w:pPr>
        <w:spacing w:line="360" w:lineRule="auto"/>
        <w:ind w:firstLine="480" w:firstLineChars="200"/>
        <w:rPr>
          <w:rFonts w:ascii="宋体" w:hAnsi="宋体" w:cs="宋体"/>
        </w:rPr>
      </w:pPr>
      <w:r>
        <w:rPr>
          <w:rFonts w:hint="eastAsia" w:ascii="宋体" w:hAnsi="宋体" w:cs="宋体"/>
        </w:rPr>
        <w:t>政府采购货物和服务，不收取履约保证金。</w:t>
      </w:r>
      <w:bookmarkStart w:id="42" w:name="_Toc217446069"/>
    </w:p>
    <w:p>
      <w:pPr>
        <w:spacing w:line="360" w:lineRule="auto"/>
        <w:rPr>
          <w:rFonts w:ascii="宋体" w:hAnsi="宋体" w:cs="宋体"/>
          <w:b/>
          <w:bCs/>
        </w:rPr>
      </w:pPr>
      <w:r>
        <w:rPr>
          <w:rFonts w:hint="eastAsia" w:ascii="宋体" w:hAnsi="宋体" w:cs="宋体"/>
          <w:b/>
          <w:bCs/>
        </w:rPr>
        <w:t>31. 履行合同</w:t>
      </w:r>
      <w:bookmarkEnd w:id="42"/>
    </w:p>
    <w:p>
      <w:pPr>
        <w:spacing w:line="360" w:lineRule="auto"/>
        <w:ind w:firstLine="480" w:firstLineChars="200"/>
        <w:rPr>
          <w:rFonts w:ascii="宋体" w:hAnsi="宋体" w:cs="宋体"/>
        </w:rPr>
      </w:pPr>
      <w:r>
        <w:rPr>
          <w:rFonts w:hint="eastAsia" w:ascii="宋体" w:hAnsi="宋体" w:cs="宋体"/>
        </w:rPr>
        <w:t>31.1 成交人与采购人签订合同后，合同双方应严格执行合同条款，履行合同规定的义务，保证合同的顺利完成。</w:t>
      </w:r>
    </w:p>
    <w:p>
      <w:pPr>
        <w:spacing w:line="360" w:lineRule="auto"/>
        <w:ind w:firstLine="480" w:firstLineChars="200"/>
        <w:rPr>
          <w:rFonts w:ascii="宋体" w:hAnsi="宋体" w:cs="宋体"/>
        </w:rPr>
      </w:pPr>
      <w:r>
        <w:rPr>
          <w:rFonts w:hint="eastAsia" w:ascii="宋体" w:hAnsi="宋体" w:cs="宋体"/>
        </w:rPr>
        <w:t>31.2 如果成交人在合同约定的时间内，没有按时履行中标义务的，将按照有关规定进行处理。</w:t>
      </w:r>
    </w:p>
    <w:p>
      <w:pPr>
        <w:spacing w:line="360" w:lineRule="auto"/>
        <w:ind w:firstLine="480" w:firstLineChars="200"/>
        <w:rPr>
          <w:rFonts w:ascii="宋体" w:hAnsi="宋体" w:cs="宋体"/>
        </w:rPr>
      </w:pPr>
      <w:r>
        <w:rPr>
          <w:rFonts w:hint="eastAsia" w:ascii="宋体" w:hAnsi="宋体" w:cs="宋体"/>
        </w:rPr>
        <w:t>31.3 中标人因不可抗力原因造成违约的，遭受不可抗力一方应及时向对方通报不能履行或不能完全履行的理由，并在随后取得有关主管机关证明后的15日内向另一方提供不可抗力发生以及持续期间的充分证据。基于以上行为，允许遭受不可抗力一方延期履行、部分履行或者不履行合同，并根据情况可部分或全部免于承担违约责任。中标人因不可抗力原因不能履行合同的，经同级政府采购管理部门（相关部门）批准，采购人可以与排在中标人之后第一位的中标候选人签订采购合同，以此类推。</w:t>
      </w:r>
    </w:p>
    <w:p>
      <w:pPr>
        <w:spacing w:line="360" w:lineRule="auto"/>
        <w:ind w:firstLine="480" w:firstLineChars="200"/>
        <w:rPr>
          <w:rFonts w:ascii="宋体" w:hAnsi="宋体" w:cs="宋体"/>
        </w:rPr>
      </w:pPr>
      <w:r>
        <w:rPr>
          <w:rFonts w:hint="eastAsia" w:ascii="宋体" w:hAnsi="宋体" w:cs="宋体"/>
        </w:rPr>
        <w:t>不可抗力系指不能预见、不能避免并不能克服的客观情况。包括但不限于：自然灾害如地震、台风、洪水、火灾；政府行为、法律规定或其适用的变化或者其他任何无法预见、避免或者控制的事件。</w:t>
      </w:r>
    </w:p>
    <w:p>
      <w:pPr>
        <w:spacing w:line="360" w:lineRule="auto"/>
        <w:ind w:firstLine="480" w:firstLineChars="200"/>
        <w:rPr>
          <w:rFonts w:ascii="宋体" w:hAnsi="宋体" w:cs="宋体"/>
        </w:rPr>
      </w:pPr>
      <w:r>
        <w:rPr>
          <w:rFonts w:hint="eastAsia" w:ascii="宋体" w:hAnsi="宋体" w:cs="宋体"/>
        </w:rPr>
        <w:t>31.4 中标人在合同签订之后五个工作日内，将签订的合同分别送采购代理机构、政府采购管理部门（相关部门）备案。</w:t>
      </w:r>
    </w:p>
    <w:p>
      <w:pPr>
        <w:spacing w:line="360" w:lineRule="auto"/>
        <w:ind w:firstLine="480" w:firstLineChars="200"/>
        <w:rPr>
          <w:rFonts w:ascii="宋体" w:hAnsi="宋体" w:cs="宋体"/>
        </w:rPr>
      </w:pPr>
      <w:r>
        <w:rPr>
          <w:rFonts w:hint="eastAsia" w:ascii="宋体" w:hAnsi="宋体" w:cs="宋体"/>
        </w:rPr>
        <w:t>31.5 在合同履行过程中，如发生合同纠纷，合同双方应按照《合同法》的有关规定进行处理。</w:t>
      </w:r>
      <w:bookmarkStart w:id="43" w:name="_Toc217446070"/>
    </w:p>
    <w:p>
      <w:pPr>
        <w:spacing w:line="360" w:lineRule="auto"/>
        <w:rPr>
          <w:rFonts w:ascii="宋体" w:hAnsi="宋体" w:cs="宋体"/>
          <w:b/>
          <w:bCs/>
        </w:rPr>
      </w:pPr>
      <w:r>
        <w:rPr>
          <w:rFonts w:hint="eastAsia" w:ascii="宋体" w:hAnsi="宋体" w:cs="宋体"/>
          <w:b/>
          <w:bCs/>
        </w:rPr>
        <w:t>32. 验收</w:t>
      </w:r>
      <w:bookmarkEnd w:id="43"/>
    </w:p>
    <w:p>
      <w:pPr>
        <w:spacing w:line="360" w:lineRule="auto"/>
        <w:ind w:firstLine="480" w:firstLineChars="200"/>
        <w:rPr>
          <w:rFonts w:ascii="宋体" w:hAnsi="宋体" w:cs="宋体"/>
        </w:rPr>
      </w:pPr>
      <w:r>
        <w:rPr>
          <w:rFonts w:hint="eastAsia" w:ascii="宋体" w:hAnsi="宋体" w:cs="宋体"/>
        </w:rPr>
        <w:t>32.1 中标人交货时，由采购人依据合同组织验收，如验收合格，采购人应签署验收意见书。</w:t>
      </w:r>
    </w:p>
    <w:p>
      <w:pPr>
        <w:spacing w:line="360" w:lineRule="auto"/>
        <w:ind w:firstLine="480" w:firstLineChars="200"/>
        <w:rPr>
          <w:rFonts w:hint="eastAsia" w:ascii="宋体" w:hAnsi="宋体" w:cs="宋体"/>
        </w:rPr>
      </w:pPr>
      <w:r>
        <w:rPr>
          <w:rFonts w:hint="eastAsia" w:ascii="宋体" w:hAnsi="宋体" w:cs="宋体"/>
        </w:rPr>
        <w:t>32.2 采购人应当在中标人交货安装调试后10个工作日内由中标人提交验收申请。</w:t>
      </w:r>
      <w:bookmarkStart w:id="44" w:name="_Toc4990"/>
      <w:bookmarkStart w:id="45" w:name="_Toc217446071"/>
      <w:bookmarkStart w:id="46" w:name="_Toc8374"/>
    </w:p>
    <w:p>
      <w:pPr>
        <w:bidi w:val="0"/>
        <w:spacing w:line="360" w:lineRule="auto"/>
        <w:rPr>
          <w:rFonts w:hint="eastAsia"/>
        </w:rPr>
      </w:pPr>
      <w:r>
        <w:rPr>
          <w:rFonts w:hint="eastAsia" w:ascii="宋体" w:hAnsi="宋体" w:eastAsia="宋体" w:cs="宋体"/>
          <w:b/>
          <w:bCs/>
          <w:lang w:val="en-US" w:eastAsia="zh-CN"/>
        </w:rPr>
        <w:t>33、合同融资：严格按照豫财办【2020】33 号河南省财政厅关于印发深入推进政府采购合同融资工作实施方案的通知执行。（格式见附件）</w:t>
      </w:r>
      <w:r>
        <w:rPr>
          <w:rFonts w:hint="eastAsia"/>
          <w:lang w:val="en-US" w:eastAsia="zh-CN"/>
        </w:rPr>
        <w:t xml:space="preserve"> </w:t>
      </w:r>
    </w:p>
    <w:p>
      <w:pPr>
        <w:pStyle w:val="2"/>
        <w:bidi w:val="0"/>
      </w:pPr>
      <w:bookmarkStart w:id="47" w:name="_Toc9740"/>
      <w:r>
        <w:rPr>
          <w:rFonts w:hint="eastAsia"/>
        </w:rPr>
        <w:t>七、 废 标</w:t>
      </w:r>
      <w:bookmarkEnd w:id="44"/>
      <w:bookmarkEnd w:id="45"/>
      <w:bookmarkEnd w:id="46"/>
      <w:bookmarkEnd w:id="47"/>
    </w:p>
    <w:bookmarkEnd w:id="36"/>
    <w:bookmarkEnd w:id="37"/>
    <w:p>
      <w:pPr>
        <w:spacing w:line="360" w:lineRule="auto"/>
        <w:rPr>
          <w:rFonts w:ascii="宋体" w:hAnsi="宋体" w:cs="宋体"/>
          <w:b/>
          <w:bCs/>
        </w:rPr>
      </w:pPr>
      <w:bookmarkStart w:id="48" w:name="_Toc217446072"/>
      <w:bookmarkStart w:id="49" w:name="_Toc183682380"/>
      <w:bookmarkStart w:id="50" w:name="_Toc183582243"/>
      <w:r>
        <w:rPr>
          <w:rFonts w:hint="eastAsia" w:ascii="宋体" w:hAnsi="宋体" w:cs="宋体"/>
          <w:b/>
          <w:bCs/>
        </w:rPr>
        <w:t>3</w:t>
      </w:r>
      <w:r>
        <w:rPr>
          <w:rFonts w:hint="eastAsia" w:ascii="宋体" w:hAnsi="宋体" w:cs="宋体"/>
          <w:b/>
          <w:bCs/>
          <w:lang w:val="en-US" w:eastAsia="zh-CN"/>
        </w:rPr>
        <w:t>4</w:t>
      </w:r>
      <w:r>
        <w:rPr>
          <w:rFonts w:hint="eastAsia" w:ascii="宋体" w:hAnsi="宋体" w:cs="宋体"/>
          <w:b/>
          <w:bCs/>
        </w:rPr>
        <w:t>. 废标的情形</w:t>
      </w:r>
      <w:bookmarkEnd w:id="48"/>
    </w:p>
    <w:p>
      <w:pPr>
        <w:spacing w:line="360" w:lineRule="auto"/>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4</w:t>
      </w:r>
      <w:r>
        <w:rPr>
          <w:rFonts w:hint="eastAsia" w:ascii="宋体" w:hAnsi="宋体" w:cs="宋体"/>
        </w:rPr>
        <w:t>.1 招标采购中，出现下列情形之一的，予以废标：</w:t>
      </w:r>
    </w:p>
    <w:p>
      <w:pPr>
        <w:spacing w:line="360" w:lineRule="auto"/>
        <w:ind w:firstLine="480" w:firstLineChars="200"/>
        <w:rPr>
          <w:rFonts w:ascii="宋体" w:hAnsi="宋体" w:cs="宋体"/>
        </w:rPr>
      </w:pPr>
      <w:r>
        <w:rPr>
          <w:rFonts w:hint="eastAsia" w:ascii="宋体" w:hAnsi="宋体" w:cs="宋体"/>
        </w:rPr>
        <w:t>（1）符合专业条件的供应商或者对采购文件作实质响应的供应商不足三家的，按照本须知23.9条执行；</w:t>
      </w:r>
    </w:p>
    <w:p>
      <w:pPr>
        <w:spacing w:line="360" w:lineRule="auto"/>
        <w:ind w:firstLine="480" w:firstLineChars="200"/>
        <w:rPr>
          <w:rFonts w:ascii="宋体" w:hAnsi="宋体" w:cs="宋体"/>
        </w:rPr>
      </w:pPr>
      <w:r>
        <w:rPr>
          <w:rFonts w:hint="eastAsia" w:ascii="宋体" w:hAnsi="宋体" w:cs="宋体"/>
        </w:rPr>
        <w:t>（2）出现影响采购公正的违法、违规行为的；</w:t>
      </w:r>
    </w:p>
    <w:p>
      <w:pPr>
        <w:spacing w:line="360" w:lineRule="auto"/>
        <w:ind w:firstLine="480" w:firstLineChars="200"/>
        <w:rPr>
          <w:rFonts w:ascii="宋体" w:hAnsi="宋体" w:cs="宋体"/>
        </w:rPr>
      </w:pPr>
      <w:r>
        <w:rPr>
          <w:rFonts w:hint="eastAsia" w:ascii="宋体" w:hAnsi="宋体" w:cs="宋体"/>
        </w:rPr>
        <w:t>（3）因重大变故，采购任务取消的。</w:t>
      </w:r>
    </w:p>
    <w:p>
      <w:pPr>
        <w:spacing w:line="360" w:lineRule="auto"/>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4</w:t>
      </w:r>
      <w:r>
        <w:rPr>
          <w:rFonts w:hint="eastAsia" w:ascii="宋体" w:hAnsi="宋体" w:cs="宋体"/>
        </w:rPr>
        <w:t>.2废标后，按照以下原则进行：</w:t>
      </w:r>
    </w:p>
    <w:p>
      <w:pPr>
        <w:spacing w:line="360" w:lineRule="auto"/>
        <w:rPr>
          <w:rFonts w:ascii="宋体" w:hAnsi="宋体" w:cs="宋体"/>
        </w:rPr>
      </w:pPr>
      <w:r>
        <w:rPr>
          <w:rFonts w:hint="eastAsia" w:ascii="宋体" w:hAnsi="宋体" w:cs="宋体"/>
        </w:rPr>
        <w:t>（1）出现33.1条第一项规定的情况的，按照本须知23.9条执行。</w:t>
      </w:r>
    </w:p>
    <w:p>
      <w:pPr>
        <w:spacing w:line="360" w:lineRule="auto"/>
        <w:rPr>
          <w:rFonts w:ascii="宋体" w:hAnsi="宋体" w:cs="宋体"/>
        </w:rPr>
      </w:pPr>
      <w:r>
        <w:rPr>
          <w:rFonts w:hint="eastAsia" w:ascii="宋体" w:hAnsi="宋体" w:cs="宋体"/>
        </w:rPr>
        <w:t>（2）因其他原因导致废标的，和根据23.9条决定重新组织采购活动的，采购代理机构应在招标公告发布媒体上公告废标的详细理由。</w:t>
      </w:r>
    </w:p>
    <w:p>
      <w:pPr>
        <w:pStyle w:val="2"/>
        <w:rPr>
          <w:rFonts w:ascii="宋体" w:hAnsi="宋体" w:cs="宋体"/>
          <w:bCs/>
        </w:rPr>
      </w:pPr>
      <w:bookmarkStart w:id="51" w:name="_Toc1759"/>
      <w:bookmarkStart w:id="52" w:name="_Toc217446078"/>
      <w:bookmarkStart w:id="53" w:name="_Toc32489"/>
      <w:bookmarkStart w:id="54" w:name="_Toc1413"/>
      <w:r>
        <w:rPr>
          <w:rFonts w:hint="eastAsia"/>
        </w:rPr>
        <w:t>八、质疑和投诉</w:t>
      </w:r>
      <w:bookmarkEnd w:id="51"/>
      <w:bookmarkEnd w:id="52"/>
      <w:bookmarkEnd w:id="53"/>
      <w:bookmarkEnd w:id="54"/>
      <w:bookmarkStart w:id="55" w:name="_Toc217446079"/>
    </w:p>
    <w:bookmarkEnd w:id="55"/>
    <w:p>
      <w:pPr>
        <w:spacing w:line="360" w:lineRule="auto"/>
        <w:rPr>
          <w:rFonts w:ascii="宋体" w:hAnsi="宋体" w:cs="宋体"/>
          <w:b/>
          <w:bCs/>
        </w:rPr>
      </w:pPr>
      <w:r>
        <w:rPr>
          <w:rFonts w:hint="eastAsia" w:ascii="宋体" w:hAnsi="宋体" w:cs="宋体"/>
          <w:b/>
          <w:bCs/>
        </w:rPr>
        <w:t>3</w:t>
      </w:r>
      <w:r>
        <w:rPr>
          <w:rFonts w:hint="eastAsia" w:ascii="宋体" w:hAnsi="宋体" w:cs="宋体"/>
          <w:b/>
          <w:bCs/>
          <w:lang w:val="en-US" w:eastAsia="zh-CN"/>
        </w:rPr>
        <w:t>5</w:t>
      </w:r>
      <w:r>
        <w:rPr>
          <w:rFonts w:hint="eastAsia" w:ascii="宋体" w:hAnsi="宋体" w:cs="宋体"/>
          <w:b/>
          <w:bCs/>
        </w:rPr>
        <w:t>.质疑</w:t>
      </w:r>
    </w:p>
    <w:p>
      <w:pPr>
        <w:spacing w:line="360" w:lineRule="auto"/>
        <w:ind w:firstLine="480" w:firstLineChars="200"/>
        <w:rPr>
          <w:rFonts w:ascii="宋体" w:hAnsi="宋体" w:cs="宋体"/>
        </w:rPr>
      </w:pPr>
      <w:r>
        <w:rPr>
          <w:rFonts w:hint="eastAsia" w:ascii="宋体" w:hAnsi="宋体" w:cs="宋体"/>
        </w:rPr>
        <w:t>投标供应商对中标公告有异议的，应当在中标公告发布之日起7个工作日内，以书面形式向采购代理机构提出质疑。采购代理机构应当根据质疑内容，协调、联系采购人、评审专家或相关供应商进行处理，在收到投标供应商书面质疑后7个工作日内，对质疑内容作出书面答复，同时抄送同级政府采购管理部门（相关部门）。</w:t>
      </w:r>
    </w:p>
    <w:p>
      <w:pPr>
        <w:spacing w:line="360" w:lineRule="auto"/>
        <w:rPr>
          <w:rFonts w:ascii="宋体" w:hAnsi="宋体" w:cs="宋体"/>
          <w:b/>
          <w:bCs/>
        </w:rPr>
      </w:pPr>
      <w:r>
        <w:rPr>
          <w:rFonts w:hint="eastAsia" w:ascii="宋体" w:hAnsi="宋体" w:cs="宋体"/>
          <w:b/>
          <w:bCs/>
        </w:rPr>
        <w:t>3</w:t>
      </w:r>
      <w:r>
        <w:rPr>
          <w:rFonts w:hint="eastAsia" w:ascii="宋体" w:hAnsi="宋体" w:cs="宋体"/>
          <w:b/>
          <w:bCs/>
          <w:lang w:val="en-US" w:eastAsia="zh-CN"/>
        </w:rPr>
        <w:t>6</w:t>
      </w:r>
      <w:r>
        <w:rPr>
          <w:rFonts w:hint="eastAsia" w:ascii="宋体" w:hAnsi="宋体" w:cs="宋体"/>
          <w:b/>
          <w:bCs/>
        </w:rPr>
        <w:t>．投诉</w:t>
      </w:r>
    </w:p>
    <w:p>
      <w:pPr>
        <w:spacing w:line="360" w:lineRule="auto"/>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6</w:t>
      </w:r>
      <w:r>
        <w:rPr>
          <w:rFonts w:hint="eastAsia" w:ascii="宋体" w:hAnsi="宋体" w:cs="宋体"/>
        </w:rPr>
        <w:t>.1 质疑供应商对招标采购单位的答复不满意或者招标采购单位未在规定时间内答复的，可以在答复期满后15个工作日内按有关规定，向同级人民政府财政部门（相关部门）投诉。财政部门应当在收到投诉后30个工作日内，对投诉事项作出处理决定。</w:t>
      </w:r>
    </w:p>
    <w:p>
      <w:pPr>
        <w:spacing w:line="360" w:lineRule="auto"/>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6</w:t>
      </w:r>
      <w:r>
        <w:rPr>
          <w:rFonts w:hint="eastAsia" w:ascii="宋体" w:hAnsi="宋体" w:cs="宋体"/>
        </w:rPr>
        <w:t>.2 处理投诉事项期间，财政部门可以视具体情况书面通知招标采购单位暂停签订合同等活动，但暂停时间最长不得超过30日。</w:t>
      </w:r>
      <w:bookmarkEnd w:id="49"/>
      <w:bookmarkEnd w:id="50"/>
    </w:p>
    <w:p>
      <w:pPr>
        <w:pStyle w:val="3"/>
        <w:spacing w:line="360" w:lineRule="auto"/>
        <w:jc w:val="center"/>
        <w:rPr>
          <w:rFonts w:ascii="Times New Roman" w:hAnsi="Times New Roman" w:cs="Times New Roman"/>
          <w:sz w:val="20"/>
          <w:szCs w:val="20"/>
          <w:u w:val="single" w:color="000000"/>
        </w:rPr>
      </w:pPr>
      <w:bookmarkStart w:id="56" w:name="_Toc24911"/>
      <w:r>
        <w:t>第三章合同条款（参考）</w:t>
      </w:r>
      <w:r>
        <w:rPr>
          <w:rFonts w:ascii="宋体" w:hAnsi="宋体" w:cs="宋体"/>
          <w:w w:val="105"/>
          <w:sz w:val="20"/>
          <w:szCs w:val="20"/>
        </w:rPr>
        <w:t>合同编号：</w:t>
      </w:r>
      <w:bookmarkEnd w:id="56"/>
      <w:r>
        <w:rPr>
          <w:rFonts w:ascii="Times New Roman" w:hAnsi="Times New Roman" w:eastAsia="Times New Roman" w:cs="Times New Roman"/>
          <w:sz w:val="20"/>
          <w:szCs w:val="20"/>
          <w:u w:val="single" w:color="000000"/>
        </w:rPr>
        <w:tab/>
      </w:r>
    </w:p>
    <w:p>
      <w:pPr>
        <w:rPr>
          <w:rFonts w:hint="default" w:ascii="宋体" w:hAnsi="宋体" w:eastAsia="宋体" w:cs="宋体"/>
          <w:lang w:val="en-US" w:eastAsia="zh-CN"/>
        </w:rPr>
      </w:pPr>
      <w:r>
        <w:rPr>
          <w:rFonts w:hint="eastAsia" w:ascii="宋体" w:hAnsi="宋体" w:cs="宋体"/>
          <w:w w:val="105"/>
        </w:rPr>
        <w:t>供方（全称）：</w:t>
      </w:r>
      <w:r>
        <w:rPr>
          <w:rFonts w:hint="eastAsia" w:ascii="宋体" w:hAnsi="宋体" w:cs="宋体"/>
          <w:u w:val="single" w:color="000000"/>
        </w:rPr>
        <w:tab/>
      </w:r>
      <w:r>
        <w:rPr>
          <w:rFonts w:hint="eastAsia" w:ascii="宋体" w:hAnsi="宋体" w:cs="宋体"/>
          <w:u w:val="single" w:color="000000"/>
          <w:lang w:val="en-US" w:eastAsia="zh-CN"/>
        </w:rPr>
        <w:t xml:space="preserve">                     </w:t>
      </w:r>
    </w:p>
    <w:p>
      <w:pPr>
        <w:tabs>
          <w:tab w:val="left" w:pos="4100"/>
        </w:tabs>
        <w:spacing w:before="43" w:line="360" w:lineRule="auto"/>
        <w:ind w:right="107"/>
        <w:jc w:val="left"/>
        <w:rPr>
          <w:rFonts w:hint="default" w:ascii="宋体" w:hAnsi="宋体" w:eastAsia="宋体" w:cs="宋体"/>
          <w:lang w:val="en-US" w:eastAsia="zh-CN"/>
        </w:rPr>
      </w:pPr>
      <w:r>
        <w:rPr>
          <w:rFonts w:hint="eastAsia" w:ascii="宋体" w:hAnsi="宋体" w:cs="宋体"/>
          <w:w w:val="105"/>
        </w:rPr>
        <w:t>需方（全称）：</w:t>
      </w:r>
      <w:r>
        <w:rPr>
          <w:rFonts w:hint="eastAsia" w:ascii="宋体" w:hAnsi="宋体" w:cs="宋体"/>
          <w:u w:val="single" w:color="000000"/>
        </w:rPr>
        <w:tab/>
      </w:r>
      <w:r>
        <w:rPr>
          <w:rFonts w:hint="eastAsia" w:ascii="宋体" w:hAnsi="宋体" w:cs="宋体"/>
          <w:u w:val="single" w:color="000000"/>
          <w:lang w:val="en-US" w:eastAsia="zh-CN"/>
        </w:rPr>
        <w:t xml:space="preserve">     </w:t>
      </w:r>
    </w:p>
    <w:p>
      <w:pPr>
        <w:tabs>
          <w:tab w:val="left" w:pos="2213"/>
          <w:tab w:val="left" w:pos="2830"/>
          <w:tab w:val="left" w:pos="3448"/>
        </w:tabs>
        <w:spacing w:before="43" w:line="360" w:lineRule="auto"/>
        <w:ind w:right="107" w:firstLine="720" w:firstLineChars="300"/>
        <w:jc w:val="left"/>
        <w:rPr>
          <w:rFonts w:ascii="宋体" w:hAnsi="宋体" w:cs="宋体"/>
        </w:rPr>
      </w:pPr>
      <w:r>
        <w:rPr>
          <w:rFonts w:hint="eastAsia" w:ascii="宋体" w:hAnsi="宋体" w:cs="宋体"/>
        </w:rPr>
        <w:t>供方于</w:t>
      </w:r>
      <w:r>
        <w:rPr>
          <w:rFonts w:hint="eastAsia" w:ascii="宋体" w:hAnsi="宋体" w:cs="宋体"/>
          <w:u w:val="single" w:color="000000"/>
        </w:rPr>
        <w:tab/>
      </w:r>
      <w:r>
        <w:rPr>
          <w:rFonts w:hint="eastAsia" w:ascii="宋体" w:hAnsi="宋体" w:cs="宋体"/>
        </w:rPr>
        <w:t>年</w:t>
      </w:r>
      <w:r>
        <w:rPr>
          <w:rFonts w:hint="eastAsia" w:ascii="宋体" w:hAnsi="宋体" w:cs="宋体"/>
          <w:u w:val="single" w:color="000000"/>
        </w:rPr>
        <w:tab/>
      </w:r>
      <w:r>
        <w:rPr>
          <w:rFonts w:hint="eastAsia" w:ascii="宋体" w:hAnsi="宋体" w:cs="宋体"/>
        </w:rPr>
        <w:t>月</w:t>
      </w:r>
      <w:r>
        <w:rPr>
          <w:rFonts w:hint="eastAsia" w:ascii="宋体" w:hAnsi="宋体" w:cs="宋体"/>
          <w:u w:val="single" w:color="000000"/>
        </w:rPr>
        <w:tab/>
      </w:r>
      <w:r>
        <w:rPr>
          <w:rFonts w:hint="eastAsia" w:ascii="宋体" w:hAnsi="宋体" w:cs="宋体"/>
          <w:w w:val="105"/>
        </w:rPr>
        <w:t>日签发的中标、成交通知书，根据采购文件、供方的投标、报价等文</w:t>
      </w:r>
      <w:r>
        <w:rPr>
          <w:rFonts w:hint="eastAsia" w:ascii="宋体" w:hAnsi="宋体" w:cs="宋体"/>
        </w:rPr>
        <w:t>件[采购编号：</w:t>
      </w:r>
      <w:r>
        <w:rPr>
          <w:rFonts w:hint="eastAsia" w:ascii="宋体" w:hAnsi="宋体" w:cs="宋体"/>
          <w:u w:val="single" w:color="000000"/>
        </w:rPr>
        <w:tab/>
      </w:r>
      <w:r>
        <w:rPr>
          <w:rFonts w:hint="eastAsia" w:ascii="宋体" w:hAnsi="宋体" w:cs="宋体"/>
        </w:rPr>
        <w:t>]，按照《政府采购法》、《合同法》等有关法律、法规，供需双方经协商一致，</w:t>
      </w:r>
      <w:r>
        <w:rPr>
          <w:rFonts w:hint="eastAsia" w:ascii="宋体" w:hAnsi="宋体" w:cs="宋体"/>
          <w:w w:val="105"/>
        </w:rPr>
        <w:t>达成以下合同条款：</w:t>
      </w:r>
    </w:p>
    <w:p>
      <w:pPr>
        <w:tabs>
          <w:tab w:val="left" w:pos="6440"/>
        </w:tabs>
        <w:spacing w:line="360" w:lineRule="auto"/>
        <w:ind w:right="107"/>
        <w:jc w:val="left"/>
        <w:rPr>
          <w:rFonts w:ascii="宋体" w:hAnsi="宋体" w:cs="宋体"/>
        </w:rPr>
      </w:pPr>
      <w:r>
        <w:rPr>
          <w:rFonts w:hint="eastAsia" w:ascii="宋体" w:hAnsi="宋体" w:cs="宋体"/>
        </w:rPr>
        <w:t>一、本合同名称：</w:t>
      </w:r>
      <w:r>
        <w:rPr>
          <w:rFonts w:hint="eastAsia" w:ascii="宋体" w:hAnsi="宋体" w:cs="宋体"/>
          <w:u w:val="single" w:color="000000"/>
        </w:rPr>
        <w:tab/>
      </w:r>
      <w:r>
        <w:rPr>
          <w:rFonts w:hint="eastAsia" w:ascii="宋体" w:hAnsi="宋体" w:cs="宋体"/>
          <w:w w:val="105"/>
        </w:rPr>
        <w:t>。</w:t>
      </w:r>
    </w:p>
    <w:p>
      <w:pPr>
        <w:tabs>
          <w:tab w:val="left" w:pos="4374"/>
          <w:tab w:val="left" w:pos="7668"/>
        </w:tabs>
        <w:spacing w:before="43" w:line="360" w:lineRule="auto"/>
        <w:ind w:right="107"/>
        <w:jc w:val="left"/>
        <w:rPr>
          <w:rFonts w:ascii="宋体" w:hAnsi="宋体" w:cs="宋体"/>
        </w:rPr>
      </w:pPr>
      <w:r>
        <w:rPr>
          <w:rFonts w:hint="eastAsia" w:ascii="宋体" w:hAnsi="宋体" w:cs="宋体"/>
        </w:rPr>
        <w:t>二、本合同总价为人民币</w:t>
      </w:r>
      <w:r>
        <w:rPr>
          <w:rFonts w:hint="eastAsia" w:ascii="宋体" w:hAnsi="宋体" w:cs="宋体"/>
          <w:u w:val="single" w:color="000000"/>
        </w:rPr>
        <w:tab/>
      </w:r>
      <w:r>
        <w:rPr>
          <w:rFonts w:hint="eastAsia" w:ascii="宋体" w:hAnsi="宋体" w:cs="宋体"/>
        </w:rPr>
        <w:t>元（大写：</w:t>
      </w:r>
      <w:r>
        <w:rPr>
          <w:rFonts w:hint="eastAsia" w:ascii="宋体" w:hAnsi="宋体" w:cs="宋体"/>
          <w:u w:val="single" w:color="000000"/>
        </w:rPr>
        <w:tab/>
      </w:r>
      <w:r>
        <w:rPr>
          <w:rFonts w:hint="eastAsia" w:ascii="宋体" w:hAnsi="宋体" w:cs="宋体"/>
          <w:w w:val="105"/>
        </w:rPr>
        <w:t>）。</w:t>
      </w:r>
    </w:p>
    <w:p>
      <w:pPr>
        <w:tabs>
          <w:tab w:val="left" w:pos="7154"/>
        </w:tabs>
        <w:spacing w:before="43" w:line="360" w:lineRule="auto"/>
        <w:ind w:right="107"/>
        <w:jc w:val="left"/>
        <w:rPr>
          <w:rFonts w:ascii="宋体" w:hAnsi="宋体" w:cs="宋体"/>
        </w:rPr>
      </w:pPr>
      <w:r>
        <w:rPr>
          <w:rFonts w:hint="eastAsia" w:ascii="宋体" w:hAnsi="宋体" w:cs="宋体"/>
        </w:rPr>
        <w:t>供货范围、技术规格、及分项价格如下：</w:t>
      </w:r>
      <w:r>
        <w:rPr>
          <w:rFonts w:hint="eastAsia" w:ascii="宋体" w:hAnsi="宋体" w:cs="宋体"/>
          <w:w w:val="105"/>
        </w:rPr>
        <w:t>单位：人民币元</w:t>
      </w:r>
    </w:p>
    <w:tbl>
      <w:tblPr>
        <w:tblStyle w:val="28"/>
        <w:tblpPr w:leftFromText="180" w:rightFromText="180" w:vertAnchor="text" w:horzAnchor="page" w:tblpX="995" w:tblpY="51"/>
        <w:tblOverlap w:val="never"/>
        <w:tblW w:w="9917" w:type="dxa"/>
        <w:tblInd w:w="0" w:type="dxa"/>
        <w:tblLayout w:type="fixed"/>
        <w:tblCellMar>
          <w:top w:w="0" w:type="dxa"/>
          <w:left w:w="0" w:type="dxa"/>
          <w:bottom w:w="0" w:type="dxa"/>
          <w:right w:w="0" w:type="dxa"/>
        </w:tblCellMar>
      </w:tblPr>
      <w:tblGrid>
        <w:gridCol w:w="1067"/>
        <w:gridCol w:w="1183"/>
        <w:gridCol w:w="874"/>
        <w:gridCol w:w="526"/>
        <w:gridCol w:w="224"/>
        <w:gridCol w:w="443"/>
        <w:gridCol w:w="257"/>
        <w:gridCol w:w="676"/>
        <w:gridCol w:w="650"/>
        <w:gridCol w:w="502"/>
        <w:gridCol w:w="338"/>
        <w:gridCol w:w="510"/>
        <w:gridCol w:w="254"/>
        <w:gridCol w:w="963"/>
        <w:gridCol w:w="1450"/>
      </w:tblGrid>
      <w:tr>
        <w:tblPrEx>
          <w:tblCellMar>
            <w:top w:w="0" w:type="dxa"/>
            <w:left w:w="0" w:type="dxa"/>
            <w:bottom w:w="0" w:type="dxa"/>
            <w:right w:w="0" w:type="dxa"/>
          </w:tblCellMar>
        </w:tblPrEx>
        <w:trPr>
          <w:trHeight w:val="1668" w:hRule="exact"/>
        </w:trPr>
        <w:tc>
          <w:tcPr>
            <w:tcW w:w="1067" w:type="dxa"/>
            <w:tcBorders>
              <w:top w:val="single" w:color="000000" w:sz="6" w:space="0"/>
              <w:left w:val="single" w:color="000000" w:sz="6" w:space="0"/>
              <w:bottom w:val="single" w:color="000000" w:sz="6" w:space="0"/>
              <w:right w:val="single" w:color="000000" w:sz="6" w:space="0"/>
            </w:tcBorders>
          </w:tcPr>
          <w:p>
            <w:pPr>
              <w:pStyle w:val="42"/>
              <w:spacing w:before="68" w:line="360" w:lineRule="auto"/>
              <w:ind w:left="367"/>
              <w:jc w:val="left"/>
              <w:rPr>
                <w:rFonts w:ascii="宋体" w:hAnsi="宋体" w:cs="宋体"/>
              </w:rPr>
            </w:pPr>
            <w:r>
              <w:rPr>
                <w:rFonts w:hint="eastAsia" w:ascii="宋体" w:hAnsi="宋体" w:cs="宋体"/>
                <w:w w:val="105"/>
              </w:rPr>
              <w:t>名称</w:t>
            </w:r>
          </w:p>
        </w:tc>
        <w:tc>
          <w:tcPr>
            <w:tcW w:w="1183" w:type="dxa"/>
            <w:tcBorders>
              <w:top w:val="single" w:color="000000" w:sz="6" w:space="0"/>
              <w:left w:val="single" w:color="000000" w:sz="6" w:space="0"/>
              <w:bottom w:val="single" w:color="000000" w:sz="6" w:space="0"/>
              <w:right w:val="single" w:color="000000" w:sz="6" w:space="0"/>
            </w:tcBorders>
          </w:tcPr>
          <w:p>
            <w:pPr>
              <w:pStyle w:val="42"/>
              <w:spacing w:before="68" w:line="360" w:lineRule="auto"/>
              <w:ind w:right="2"/>
              <w:jc w:val="center"/>
              <w:rPr>
                <w:rFonts w:ascii="宋体" w:hAnsi="宋体" w:cs="宋体"/>
              </w:rPr>
            </w:pPr>
            <w:r>
              <w:rPr>
                <w:rFonts w:hint="eastAsia" w:ascii="宋体" w:hAnsi="宋体" w:cs="宋体"/>
                <w:w w:val="105"/>
              </w:rPr>
              <w:t>品牌/规格</w:t>
            </w:r>
          </w:p>
          <w:p>
            <w:pPr>
              <w:pStyle w:val="42"/>
              <w:spacing w:before="11" w:line="360" w:lineRule="auto"/>
              <w:jc w:val="left"/>
              <w:rPr>
                <w:rFonts w:ascii="宋体" w:hAnsi="宋体" w:cs="宋体"/>
              </w:rPr>
            </w:pPr>
          </w:p>
          <w:p>
            <w:pPr>
              <w:pStyle w:val="42"/>
              <w:spacing w:line="360" w:lineRule="auto"/>
              <w:ind w:right="3"/>
              <w:jc w:val="center"/>
              <w:rPr>
                <w:rFonts w:ascii="宋体" w:hAnsi="宋体" w:cs="宋体"/>
              </w:rPr>
            </w:pPr>
            <w:r>
              <w:rPr>
                <w:rFonts w:hint="eastAsia" w:ascii="宋体" w:hAnsi="宋体" w:cs="宋体"/>
                <w:w w:val="105"/>
              </w:rPr>
              <w:t>/型号</w:t>
            </w:r>
          </w:p>
        </w:tc>
        <w:tc>
          <w:tcPr>
            <w:tcW w:w="1400" w:type="dxa"/>
            <w:gridSpan w:val="2"/>
            <w:tcBorders>
              <w:top w:val="single" w:color="000000" w:sz="6" w:space="0"/>
              <w:left w:val="single" w:color="000000" w:sz="6" w:space="0"/>
              <w:bottom w:val="single" w:color="000000" w:sz="6" w:space="0"/>
              <w:right w:val="single" w:color="000000" w:sz="6" w:space="0"/>
            </w:tcBorders>
          </w:tcPr>
          <w:p>
            <w:pPr>
              <w:pStyle w:val="42"/>
              <w:spacing w:before="68" w:line="360" w:lineRule="auto"/>
              <w:jc w:val="center"/>
              <w:rPr>
                <w:rFonts w:ascii="宋体" w:hAnsi="宋体" w:cs="宋体"/>
              </w:rPr>
            </w:pPr>
            <w:r>
              <w:rPr>
                <w:rFonts w:hint="eastAsia" w:ascii="宋体" w:hAnsi="宋体" w:cs="宋体"/>
                <w:w w:val="105"/>
              </w:rPr>
              <w:t>技术参数</w:t>
            </w:r>
          </w:p>
          <w:p>
            <w:pPr>
              <w:pStyle w:val="42"/>
              <w:spacing w:before="11" w:line="360" w:lineRule="auto"/>
              <w:jc w:val="left"/>
              <w:rPr>
                <w:rFonts w:ascii="宋体" w:hAnsi="宋体" w:cs="宋体"/>
              </w:rPr>
            </w:pPr>
          </w:p>
          <w:p>
            <w:pPr>
              <w:pStyle w:val="42"/>
              <w:spacing w:line="360" w:lineRule="auto"/>
              <w:jc w:val="center"/>
              <w:rPr>
                <w:rFonts w:ascii="宋体" w:hAnsi="宋体" w:cs="宋体"/>
              </w:rPr>
            </w:pPr>
            <w:r>
              <w:rPr>
                <w:rFonts w:hint="eastAsia" w:ascii="宋体" w:hAnsi="宋体" w:cs="宋体"/>
                <w:w w:val="105"/>
              </w:rPr>
              <w:t>(详细配置)</w:t>
            </w:r>
          </w:p>
        </w:tc>
        <w:tc>
          <w:tcPr>
            <w:tcW w:w="667" w:type="dxa"/>
            <w:gridSpan w:val="2"/>
            <w:tcBorders>
              <w:top w:val="single" w:color="000000" w:sz="6" w:space="0"/>
              <w:left w:val="single" w:color="000000" w:sz="6" w:space="0"/>
              <w:bottom w:val="single" w:color="000000" w:sz="6" w:space="0"/>
              <w:right w:val="single" w:color="000000" w:sz="6" w:space="0"/>
            </w:tcBorders>
          </w:tcPr>
          <w:p>
            <w:pPr>
              <w:pStyle w:val="42"/>
              <w:spacing w:before="68" w:line="360" w:lineRule="auto"/>
              <w:ind w:left="103" w:right="80"/>
              <w:jc w:val="left"/>
              <w:rPr>
                <w:rFonts w:ascii="宋体" w:hAnsi="宋体" w:cs="宋体"/>
              </w:rPr>
            </w:pPr>
            <w:r>
              <w:rPr>
                <w:rFonts w:hint="eastAsia" w:ascii="宋体" w:hAnsi="宋体" w:cs="宋体"/>
                <w:w w:val="105"/>
              </w:rPr>
              <w:t>单位</w:t>
            </w:r>
          </w:p>
        </w:tc>
        <w:tc>
          <w:tcPr>
            <w:tcW w:w="933" w:type="dxa"/>
            <w:gridSpan w:val="2"/>
            <w:tcBorders>
              <w:top w:val="single" w:color="000000" w:sz="6" w:space="0"/>
              <w:left w:val="single" w:color="000000" w:sz="6" w:space="0"/>
              <w:bottom w:val="single" w:color="000000" w:sz="6" w:space="0"/>
              <w:right w:val="single" w:color="000000" w:sz="6" w:space="0"/>
            </w:tcBorders>
          </w:tcPr>
          <w:p>
            <w:pPr>
              <w:pStyle w:val="42"/>
              <w:spacing w:before="68" w:line="360" w:lineRule="auto"/>
              <w:ind w:left="125" w:right="131"/>
              <w:jc w:val="left"/>
              <w:rPr>
                <w:rFonts w:ascii="宋体" w:hAnsi="宋体" w:cs="宋体"/>
              </w:rPr>
            </w:pPr>
            <w:r>
              <w:rPr>
                <w:rFonts w:hint="eastAsia" w:ascii="宋体" w:hAnsi="宋体" w:cs="宋体"/>
                <w:w w:val="105"/>
              </w:rPr>
              <w:t>单价</w:t>
            </w:r>
          </w:p>
        </w:tc>
        <w:tc>
          <w:tcPr>
            <w:tcW w:w="650" w:type="dxa"/>
            <w:tcBorders>
              <w:top w:val="single" w:color="000000" w:sz="6" w:space="0"/>
              <w:left w:val="single" w:color="000000" w:sz="6" w:space="0"/>
              <w:bottom w:val="single" w:color="000000" w:sz="6" w:space="0"/>
              <w:right w:val="single" w:color="000000" w:sz="6" w:space="0"/>
            </w:tcBorders>
          </w:tcPr>
          <w:p>
            <w:pPr>
              <w:pStyle w:val="42"/>
              <w:spacing w:before="68" w:line="360" w:lineRule="auto"/>
              <w:ind w:left="95" w:right="65"/>
              <w:jc w:val="left"/>
              <w:rPr>
                <w:rFonts w:ascii="宋体" w:hAnsi="宋体" w:cs="宋体"/>
              </w:rPr>
            </w:pPr>
            <w:r>
              <w:rPr>
                <w:rFonts w:hint="eastAsia" w:ascii="宋体" w:hAnsi="宋体" w:cs="宋体"/>
                <w:w w:val="105"/>
              </w:rPr>
              <w:t>数量</w:t>
            </w:r>
          </w:p>
        </w:tc>
        <w:tc>
          <w:tcPr>
            <w:tcW w:w="502" w:type="dxa"/>
            <w:tcBorders>
              <w:top w:val="single" w:color="000000" w:sz="6" w:space="0"/>
              <w:left w:val="single" w:color="000000" w:sz="6" w:space="0"/>
              <w:bottom w:val="single" w:color="000000" w:sz="6" w:space="0"/>
              <w:right w:val="single" w:color="auto" w:sz="4" w:space="0"/>
            </w:tcBorders>
          </w:tcPr>
          <w:p>
            <w:pPr>
              <w:pStyle w:val="42"/>
              <w:spacing w:before="68" w:line="360" w:lineRule="auto"/>
              <w:ind w:left="169" w:right="161"/>
              <w:jc w:val="left"/>
              <w:rPr>
                <w:rFonts w:ascii="宋体" w:hAnsi="宋体" w:cs="宋体"/>
              </w:rPr>
            </w:pPr>
            <w:r>
              <w:rPr>
                <w:rFonts w:hint="eastAsia" w:ascii="宋体" w:hAnsi="宋体" w:cs="宋体"/>
                <w:w w:val="105"/>
              </w:rPr>
              <w:t>合计</w:t>
            </w:r>
          </w:p>
        </w:tc>
        <w:tc>
          <w:tcPr>
            <w:tcW w:w="848" w:type="dxa"/>
            <w:gridSpan w:val="2"/>
            <w:tcBorders>
              <w:top w:val="single" w:color="auto" w:sz="4" w:space="0"/>
              <w:left w:val="single" w:color="auto" w:sz="4" w:space="0"/>
              <w:bottom w:val="single" w:color="auto" w:sz="4" w:space="0"/>
              <w:right w:val="single" w:color="000000" w:sz="2" w:space="0"/>
            </w:tcBorders>
          </w:tcPr>
          <w:p>
            <w:pPr>
              <w:pStyle w:val="42"/>
              <w:spacing w:before="68" w:line="360" w:lineRule="auto"/>
              <w:ind w:left="162" w:right="158"/>
              <w:jc w:val="center"/>
              <w:rPr>
                <w:rFonts w:ascii="宋体" w:hAnsi="宋体" w:cs="宋体"/>
              </w:rPr>
            </w:pPr>
            <w:r>
              <w:rPr>
                <w:rFonts w:hint="eastAsia" w:ascii="宋体" w:hAnsi="宋体" w:cs="宋体"/>
              </w:rPr>
              <w:t>免费质保</w:t>
            </w:r>
            <w:r>
              <w:rPr>
                <w:rFonts w:hint="eastAsia" w:ascii="宋体" w:hAnsi="宋体" w:cs="宋体"/>
                <w:w w:val="102"/>
              </w:rPr>
              <w:t>期</w:t>
            </w:r>
          </w:p>
        </w:tc>
        <w:tc>
          <w:tcPr>
            <w:tcW w:w="1217" w:type="dxa"/>
            <w:gridSpan w:val="2"/>
            <w:tcBorders>
              <w:top w:val="single" w:color="auto" w:sz="4" w:space="0"/>
              <w:left w:val="single" w:color="000000" w:sz="2" w:space="0"/>
              <w:bottom w:val="single" w:color="auto" w:sz="4" w:space="0"/>
              <w:right w:val="single" w:color="000000" w:sz="2" w:space="0"/>
            </w:tcBorders>
          </w:tcPr>
          <w:p>
            <w:pPr>
              <w:pStyle w:val="42"/>
              <w:spacing w:before="68" w:line="360" w:lineRule="auto"/>
              <w:ind w:right="136"/>
              <w:rPr>
                <w:rFonts w:ascii="宋体" w:hAnsi="宋体" w:cs="宋体"/>
              </w:rPr>
            </w:pPr>
            <w:r>
              <w:rPr>
                <w:rFonts w:hint="eastAsia" w:ascii="宋体" w:hAnsi="宋体" w:cs="宋体"/>
              </w:rPr>
              <w:t>是否为政府采购节</w:t>
            </w:r>
            <w:r>
              <w:rPr>
                <w:rFonts w:hint="eastAsia" w:ascii="宋体" w:hAnsi="宋体" w:cs="宋体"/>
                <w:w w:val="105"/>
              </w:rPr>
              <w:t>能产品</w:t>
            </w:r>
          </w:p>
        </w:tc>
        <w:tc>
          <w:tcPr>
            <w:tcW w:w="1450" w:type="dxa"/>
            <w:tcBorders>
              <w:top w:val="single" w:color="auto" w:sz="4" w:space="0"/>
              <w:left w:val="single" w:color="000000" w:sz="2" w:space="0"/>
              <w:bottom w:val="single" w:color="auto" w:sz="4" w:space="0"/>
              <w:right w:val="single" w:color="auto" w:sz="4" w:space="0"/>
            </w:tcBorders>
          </w:tcPr>
          <w:p>
            <w:pPr>
              <w:pStyle w:val="42"/>
              <w:spacing w:before="68" w:line="360" w:lineRule="auto"/>
              <w:ind w:right="179"/>
              <w:rPr>
                <w:rFonts w:ascii="宋体" w:hAnsi="宋体" w:cs="宋体"/>
              </w:rPr>
            </w:pPr>
            <w:r>
              <w:rPr>
                <w:rFonts w:hint="eastAsia" w:ascii="宋体" w:hAnsi="宋体" w:cs="宋体"/>
              </w:rPr>
              <w:t>是否为政府采购环</w:t>
            </w:r>
            <w:r>
              <w:rPr>
                <w:rFonts w:hint="eastAsia" w:ascii="宋体" w:hAnsi="宋体" w:cs="宋体"/>
                <w:w w:val="105"/>
              </w:rPr>
              <w:t>保产品</w:t>
            </w:r>
          </w:p>
        </w:tc>
      </w:tr>
      <w:tr>
        <w:tblPrEx>
          <w:tblCellMar>
            <w:top w:w="0" w:type="dxa"/>
            <w:left w:w="0" w:type="dxa"/>
            <w:bottom w:w="0" w:type="dxa"/>
            <w:right w:w="0" w:type="dxa"/>
          </w:tblCellMar>
        </w:tblPrEx>
        <w:trPr>
          <w:trHeight w:val="545" w:hRule="exact"/>
        </w:trPr>
        <w:tc>
          <w:tcPr>
            <w:tcW w:w="1067"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1183"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1400" w:type="dxa"/>
            <w:gridSpan w:val="2"/>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667" w:type="dxa"/>
            <w:gridSpan w:val="2"/>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933" w:type="dxa"/>
            <w:gridSpan w:val="2"/>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65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502"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s="宋体"/>
              </w:rPr>
            </w:pPr>
          </w:p>
        </w:tc>
        <w:tc>
          <w:tcPr>
            <w:tcW w:w="848" w:type="dxa"/>
            <w:gridSpan w:val="2"/>
            <w:tcBorders>
              <w:top w:val="single" w:color="auto" w:sz="4" w:space="0"/>
              <w:left w:val="single" w:color="000000" w:sz="6" w:space="0"/>
              <w:bottom w:val="single" w:color="000000" w:sz="6" w:space="0"/>
              <w:right w:val="single" w:color="000000" w:sz="2" w:space="0"/>
            </w:tcBorders>
          </w:tcPr>
          <w:p>
            <w:pPr>
              <w:spacing w:line="360" w:lineRule="auto"/>
              <w:rPr>
                <w:rFonts w:ascii="宋体" w:hAnsi="宋体" w:cs="宋体"/>
              </w:rPr>
            </w:pPr>
          </w:p>
        </w:tc>
        <w:tc>
          <w:tcPr>
            <w:tcW w:w="1217" w:type="dxa"/>
            <w:gridSpan w:val="2"/>
            <w:tcBorders>
              <w:top w:val="single" w:color="auto" w:sz="4" w:space="0"/>
              <w:left w:val="single" w:color="000000" w:sz="2" w:space="0"/>
              <w:bottom w:val="single" w:color="000000" w:sz="6" w:space="0"/>
              <w:right w:val="single" w:color="000000" w:sz="2" w:space="0"/>
            </w:tcBorders>
          </w:tcPr>
          <w:p>
            <w:pPr>
              <w:spacing w:line="360" w:lineRule="auto"/>
              <w:rPr>
                <w:rFonts w:ascii="宋体" w:hAnsi="宋体" w:cs="宋体"/>
              </w:rPr>
            </w:pPr>
          </w:p>
        </w:tc>
        <w:tc>
          <w:tcPr>
            <w:tcW w:w="1450" w:type="dxa"/>
            <w:tcBorders>
              <w:top w:val="single" w:color="auto" w:sz="4" w:space="0"/>
              <w:left w:val="single" w:color="000000" w:sz="2" w:space="0"/>
              <w:bottom w:val="single" w:color="000000" w:sz="6" w:space="0"/>
              <w:right w:val="single" w:color="000000" w:sz="6" w:space="0"/>
            </w:tcBorders>
          </w:tcPr>
          <w:p>
            <w:pPr>
              <w:spacing w:line="360" w:lineRule="auto"/>
              <w:rPr>
                <w:rFonts w:ascii="宋体" w:hAnsi="宋体" w:cs="宋体"/>
              </w:rPr>
            </w:pPr>
          </w:p>
        </w:tc>
      </w:tr>
      <w:tr>
        <w:tblPrEx>
          <w:tblCellMar>
            <w:top w:w="0" w:type="dxa"/>
            <w:left w:w="0" w:type="dxa"/>
            <w:bottom w:w="0" w:type="dxa"/>
            <w:right w:w="0" w:type="dxa"/>
          </w:tblCellMar>
        </w:tblPrEx>
        <w:trPr>
          <w:trHeight w:val="478" w:hRule="exact"/>
        </w:trPr>
        <w:tc>
          <w:tcPr>
            <w:tcW w:w="1067" w:type="dxa"/>
            <w:vMerge w:val="restart"/>
            <w:tcBorders>
              <w:top w:val="single" w:color="000000" w:sz="6" w:space="0"/>
              <w:left w:val="single" w:color="000000" w:sz="6" w:space="0"/>
              <w:right w:val="single" w:color="000000" w:sz="6" w:space="0"/>
            </w:tcBorders>
          </w:tcPr>
          <w:p>
            <w:pPr>
              <w:pStyle w:val="42"/>
              <w:spacing w:before="68" w:line="360" w:lineRule="auto"/>
              <w:ind w:left="7"/>
              <w:rPr>
                <w:rFonts w:ascii="宋体" w:hAnsi="宋体" w:cs="宋体"/>
                <w:spacing w:val="-18"/>
                <w:w w:val="105"/>
              </w:rPr>
            </w:pPr>
            <w:r>
              <w:rPr>
                <w:rFonts w:hint="eastAsia" w:ascii="宋体" w:hAnsi="宋体" w:cs="宋体"/>
                <w:spacing w:val="-18"/>
                <w:w w:val="105"/>
              </w:rPr>
              <w:t>总价</w:t>
            </w:r>
          </w:p>
          <w:p>
            <w:pPr>
              <w:pStyle w:val="42"/>
              <w:spacing w:before="68" w:line="360" w:lineRule="auto"/>
              <w:ind w:left="7"/>
              <w:rPr>
                <w:rFonts w:ascii="宋体" w:hAnsi="宋体" w:cs="宋体"/>
              </w:rPr>
            </w:pPr>
            <w:r>
              <w:rPr>
                <w:rFonts w:hint="eastAsia" w:ascii="宋体" w:hAnsi="宋体" w:cs="宋体"/>
                <w:spacing w:val="-18"/>
                <w:w w:val="105"/>
              </w:rPr>
              <w:t>（人民</w:t>
            </w:r>
            <w:r>
              <w:rPr>
                <w:rFonts w:hint="eastAsia" w:ascii="宋体" w:hAnsi="宋体" w:cs="宋体"/>
                <w:w w:val="105"/>
              </w:rPr>
              <w:t>币）</w:t>
            </w:r>
          </w:p>
        </w:tc>
        <w:tc>
          <w:tcPr>
            <w:tcW w:w="8850" w:type="dxa"/>
            <w:gridSpan w:val="14"/>
            <w:tcBorders>
              <w:top w:val="single" w:color="000000" w:sz="6" w:space="0"/>
              <w:left w:val="single" w:color="000000" w:sz="6" w:space="0"/>
              <w:bottom w:val="single" w:color="000000" w:sz="6" w:space="0"/>
              <w:right w:val="single" w:color="000000" w:sz="6" w:space="0"/>
            </w:tcBorders>
          </w:tcPr>
          <w:p>
            <w:pPr>
              <w:pStyle w:val="42"/>
              <w:spacing w:before="68" w:line="360" w:lineRule="auto"/>
              <w:ind w:left="96"/>
              <w:jc w:val="left"/>
              <w:rPr>
                <w:rFonts w:ascii="宋体" w:hAnsi="宋体" w:cs="宋体"/>
              </w:rPr>
            </w:pPr>
            <w:r>
              <w:rPr>
                <w:rFonts w:hint="eastAsia" w:ascii="宋体" w:hAnsi="宋体" w:cs="宋体"/>
                <w:w w:val="105"/>
              </w:rPr>
              <w:t>小写：</w:t>
            </w:r>
          </w:p>
        </w:tc>
      </w:tr>
      <w:tr>
        <w:tblPrEx>
          <w:tblCellMar>
            <w:top w:w="0" w:type="dxa"/>
            <w:left w:w="0" w:type="dxa"/>
            <w:bottom w:w="0" w:type="dxa"/>
            <w:right w:w="0" w:type="dxa"/>
          </w:tblCellMar>
        </w:tblPrEx>
        <w:trPr>
          <w:trHeight w:val="2206" w:hRule="exact"/>
        </w:trPr>
        <w:tc>
          <w:tcPr>
            <w:tcW w:w="1067" w:type="dxa"/>
            <w:vMerge w:val="continue"/>
            <w:tcBorders>
              <w:left w:val="single" w:color="000000" w:sz="6" w:space="0"/>
              <w:bottom w:val="single" w:color="000000" w:sz="6" w:space="0"/>
              <w:right w:val="single" w:color="000000" w:sz="6" w:space="0"/>
            </w:tcBorders>
          </w:tcPr>
          <w:p>
            <w:pPr>
              <w:spacing w:line="360" w:lineRule="auto"/>
              <w:rPr>
                <w:rFonts w:ascii="宋体" w:hAnsi="宋体" w:cs="宋体"/>
              </w:rPr>
            </w:pPr>
          </w:p>
        </w:tc>
        <w:tc>
          <w:tcPr>
            <w:tcW w:w="1183" w:type="dxa"/>
            <w:tcBorders>
              <w:top w:val="single" w:color="000000" w:sz="6" w:space="0"/>
              <w:left w:val="single" w:color="000000" w:sz="6" w:space="0"/>
              <w:bottom w:val="single" w:color="000000" w:sz="6" w:space="0"/>
              <w:right w:val="nil"/>
            </w:tcBorders>
          </w:tcPr>
          <w:p>
            <w:pPr>
              <w:pStyle w:val="42"/>
              <w:spacing w:before="67" w:line="360" w:lineRule="auto"/>
              <w:ind w:left="96"/>
              <w:jc w:val="left"/>
              <w:rPr>
                <w:rFonts w:ascii="宋体" w:hAnsi="宋体" w:cs="宋体"/>
              </w:rPr>
            </w:pPr>
            <w:r>
              <w:rPr>
                <w:rFonts w:hint="eastAsia" w:ascii="宋体" w:hAnsi="宋体" w:cs="宋体"/>
                <w:w w:val="105"/>
              </w:rPr>
              <w:t>大写：佰</w:t>
            </w:r>
          </w:p>
        </w:tc>
        <w:tc>
          <w:tcPr>
            <w:tcW w:w="874" w:type="dxa"/>
            <w:tcBorders>
              <w:top w:val="single" w:color="000000" w:sz="6" w:space="0"/>
              <w:left w:val="nil"/>
              <w:bottom w:val="single" w:color="000000" w:sz="6" w:space="0"/>
              <w:right w:val="nil"/>
            </w:tcBorders>
          </w:tcPr>
          <w:p>
            <w:pPr>
              <w:pStyle w:val="42"/>
              <w:spacing w:before="67" w:line="360" w:lineRule="auto"/>
              <w:ind w:left="271"/>
              <w:jc w:val="left"/>
              <w:rPr>
                <w:rFonts w:ascii="宋体" w:hAnsi="宋体" w:cs="宋体"/>
              </w:rPr>
            </w:pPr>
            <w:r>
              <w:rPr>
                <w:rFonts w:hint="eastAsia" w:ascii="宋体" w:hAnsi="宋体" w:cs="宋体"/>
                <w:w w:val="102"/>
              </w:rPr>
              <w:t>拾</w:t>
            </w:r>
          </w:p>
        </w:tc>
        <w:tc>
          <w:tcPr>
            <w:tcW w:w="750" w:type="dxa"/>
            <w:gridSpan w:val="2"/>
            <w:tcBorders>
              <w:top w:val="single" w:color="000000" w:sz="6" w:space="0"/>
              <w:left w:val="nil"/>
              <w:bottom w:val="single" w:color="000000" w:sz="6" w:space="0"/>
              <w:right w:val="nil"/>
            </w:tcBorders>
          </w:tcPr>
          <w:p>
            <w:pPr>
              <w:pStyle w:val="42"/>
              <w:spacing w:before="67" w:line="360" w:lineRule="auto"/>
              <w:ind w:left="154"/>
              <w:jc w:val="left"/>
              <w:rPr>
                <w:rFonts w:ascii="宋体" w:hAnsi="宋体" w:cs="宋体"/>
              </w:rPr>
            </w:pPr>
            <w:r>
              <w:rPr>
                <w:rFonts w:hint="eastAsia" w:ascii="宋体" w:hAnsi="宋体" w:cs="宋体"/>
                <w:w w:val="102"/>
              </w:rPr>
              <w:t>万</w:t>
            </w:r>
          </w:p>
        </w:tc>
        <w:tc>
          <w:tcPr>
            <w:tcW w:w="700" w:type="dxa"/>
            <w:gridSpan w:val="2"/>
            <w:tcBorders>
              <w:top w:val="single" w:color="000000" w:sz="6" w:space="0"/>
              <w:left w:val="nil"/>
              <w:bottom w:val="single" w:color="000000" w:sz="6" w:space="0"/>
              <w:right w:val="nil"/>
            </w:tcBorders>
          </w:tcPr>
          <w:p>
            <w:pPr>
              <w:pStyle w:val="42"/>
              <w:spacing w:before="67" w:line="360" w:lineRule="auto"/>
              <w:ind w:left="154"/>
              <w:jc w:val="left"/>
              <w:rPr>
                <w:rFonts w:ascii="宋体" w:hAnsi="宋体" w:cs="宋体"/>
              </w:rPr>
            </w:pPr>
            <w:r>
              <w:rPr>
                <w:rFonts w:hint="eastAsia" w:ascii="宋体" w:hAnsi="宋体" w:cs="宋体"/>
                <w:w w:val="102"/>
              </w:rPr>
              <w:t>仟</w:t>
            </w:r>
          </w:p>
        </w:tc>
        <w:tc>
          <w:tcPr>
            <w:tcW w:w="676" w:type="dxa"/>
            <w:tcBorders>
              <w:top w:val="single" w:color="000000" w:sz="6" w:space="0"/>
              <w:left w:val="nil"/>
              <w:bottom w:val="single" w:color="000000" w:sz="6" w:space="0"/>
              <w:right w:val="nil"/>
            </w:tcBorders>
          </w:tcPr>
          <w:p>
            <w:pPr>
              <w:pStyle w:val="42"/>
              <w:spacing w:before="67" w:line="360" w:lineRule="auto"/>
              <w:ind w:left="154"/>
              <w:jc w:val="left"/>
              <w:rPr>
                <w:rFonts w:ascii="宋体" w:hAnsi="宋体" w:cs="宋体"/>
              </w:rPr>
            </w:pPr>
            <w:r>
              <w:rPr>
                <w:rFonts w:hint="eastAsia" w:ascii="宋体" w:hAnsi="宋体" w:cs="宋体"/>
                <w:w w:val="102"/>
              </w:rPr>
              <w:t>佰</w:t>
            </w:r>
          </w:p>
        </w:tc>
        <w:tc>
          <w:tcPr>
            <w:tcW w:w="650" w:type="dxa"/>
            <w:tcBorders>
              <w:top w:val="single" w:color="000000" w:sz="6" w:space="0"/>
              <w:left w:val="nil"/>
              <w:bottom w:val="single" w:color="000000" w:sz="6" w:space="0"/>
              <w:right w:val="nil"/>
            </w:tcBorders>
          </w:tcPr>
          <w:p>
            <w:pPr>
              <w:pStyle w:val="42"/>
              <w:spacing w:before="67" w:line="360" w:lineRule="auto"/>
              <w:ind w:left="114"/>
              <w:jc w:val="left"/>
              <w:rPr>
                <w:rFonts w:ascii="宋体" w:hAnsi="宋体" w:cs="宋体"/>
              </w:rPr>
            </w:pPr>
            <w:r>
              <w:rPr>
                <w:rFonts w:hint="eastAsia" w:ascii="宋体" w:hAnsi="宋体" w:cs="宋体"/>
                <w:w w:val="102"/>
              </w:rPr>
              <w:t>拾</w:t>
            </w:r>
          </w:p>
        </w:tc>
        <w:tc>
          <w:tcPr>
            <w:tcW w:w="840" w:type="dxa"/>
            <w:gridSpan w:val="2"/>
            <w:tcBorders>
              <w:top w:val="single" w:color="000000" w:sz="6" w:space="0"/>
              <w:left w:val="nil"/>
              <w:bottom w:val="single" w:color="000000" w:sz="6" w:space="0"/>
              <w:right w:val="nil"/>
            </w:tcBorders>
          </w:tcPr>
          <w:p>
            <w:pPr>
              <w:pStyle w:val="42"/>
              <w:spacing w:before="67" w:line="360" w:lineRule="auto"/>
              <w:ind w:left="253"/>
              <w:jc w:val="left"/>
              <w:rPr>
                <w:rFonts w:ascii="宋体" w:hAnsi="宋体" w:cs="宋体"/>
              </w:rPr>
            </w:pPr>
            <w:r>
              <w:rPr>
                <w:rFonts w:hint="eastAsia" w:ascii="宋体" w:hAnsi="宋体" w:cs="宋体"/>
                <w:w w:val="102"/>
              </w:rPr>
              <w:t>元</w:t>
            </w:r>
          </w:p>
        </w:tc>
        <w:tc>
          <w:tcPr>
            <w:tcW w:w="764" w:type="dxa"/>
            <w:gridSpan w:val="2"/>
            <w:tcBorders>
              <w:top w:val="single" w:color="000000" w:sz="6" w:space="0"/>
              <w:left w:val="nil"/>
              <w:bottom w:val="single" w:color="000000" w:sz="6" w:space="0"/>
              <w:right w:val="nil"/>
            </w:tcBorders>
          </w:tcPr>
          <w:p>
            <w:pPr>
              <w:pStyle w:val="42"/>
              <w:spacing w:before="67" w:line="360" w:lineRule="auto"/>
              <w:ind w:left="154"/>
              <w:jc w:val="left"/>
              <w:rPr>
                <w:rFonts w:ascii="宋体" w:hAnsi="宋体" w:cs="宋体"/>
              </w:rPr>
            </w:pPr>
            <w:r>
              <w:rPr>
                <w:rFonts w:hint="eastAsia" w:ascii="宋体" w:hAnsi="宋体" w:cs="宋体"/>
                <w:w w:val="102"/>
              </w:rPr>
              <w:t>角</w:t>
            </w:r>
          </w:p>
        </w:tc>
        <w:tc>
          <w:tcPr>
            <w:tcW w:w="2413" w:type="dxa"/>
            <w:gridSpan w:val="2"/>
            <w:tcBorders>
              <w:top w:val="single" w:color="000000" w:sz="6" w:space="0"/>
              <w:left w:val="nil"/>
              <w:bottom w:val="single" w:color="000000" w:sz="6" w:space="0"/>
              <w:right w:val="single" w:color="000000" w:sz="6" w:space="0"/>
            </w:tcBorders>
          </w:tcPr>
          <w:p>
            <w:pPr>
              <w:pStyle w:val="42"/>
              <w:spacing w:before="67" w:line="360" w:lineRule="auto"/>
              <w:ind w:left="154"/>
              <w:jc w:val="left"/>
              <w:rPr>
                <w:rFonts w:ascii="宋体" w:hAnsi="宋体" w:cs="宋体"/>
              </w:rPr>
            </w:pPr>
            <w:r>
              <w:rPr>
                <w:rFonts w:hint="eastAsia" w:ascii="宋体" w:hAnsi="宋体" w:cs="宋体"/>
                <w:w w:val="102"/>
              </w:rPr>
              <w:t>分</w:t>
            </w:r>
          </w:p>
        </w:tc>
      </w:tr>
    </w:tbl>
    <w:p>
      <w:pPr>
        <w:spacing w:before="3" w:line="360" w:lineRule="auto"/>
        <w:rPr>
          <w:rFonts w:ascii="宋体" w:hAnsi="宋体" w:cs="宋体"/>
        </w:rPr>
      </w:pPr>
    </w:p>
    <w:p>
      <w:pPr>
        <w:spacing w:before="68" w:line="360" w:lineRule="auto"/>
        <w:ind w:right="107"/>
        <w:jc w:val="left"/>
        <w:rPr>
          <w:rFonts w:ascii="宋体" w:hAnsi="宋体" w:cs="宋体"/>
        </w:rPr>
      </w:pPr>
      <w:r>
        <w:rPr>
          <w:rFonts w:hint="eastAsia" w:ascii="宋体" w:hAnsi="宋体" w:cs="宋体"/>
          <w:w w:val="105"/>
        </w:rPr>
        <w:t>三、质量要求及供方对质量负责条件和期限：</w:t>
      </w:r>
      <w:r>
        <w:rPr>
          <w:rFonts w:hint="eastAsia" w:ascii="宋体" w:hAnsi="宋体" w:cs="宋体"/>
        </w:rPr>
        <w:t>供方应提供全新未拆封设备（包括零件、附件、备品备件），如确需拆封的，应在供货前征得采购单位同意。设备必须符合产品质量标准要求，数码产品应通过制造商注册认证，否则视为不能交货。供方在此保证全部按照合同规定的时间和方式向需方提供货物和服务，并负责可能的弥补缺陷。需方对设备规格型号有异议的应在收到货物后15日内以书面形式向供方提出，需安装调试成套设备的提出异议的期限为</w:t>
      </w:r>
      <w:r>
        <w:rPr>
          <w:rFonts w:hint="eastAsia" w:ascii="宋体" w:hAnsi="宋体" w:cs="宋体"/>
          <w:w w:val="105"/>
        </w:rPr>
        <w:t>180日。</w:t>
      </w:r>
    </w:p>
    <w:p>
      <w:pPr>
        <w:spacing w:line="360" w:lineRule="auto"/>
        <w:ind w:right="107"/>
        <w:jc w:val="left"/>
        <w:rPr>
          <w:rFonts w:ascii="宋体" w:hAnsi="宋体" w:cs="宋体"/>
        </w:rPr>
      </w:pPr>
      <w:r>
        <w:rPr>
          <w:rFonts w:hint="eastAsia" w:ascii="宋体" w:hAnsi="宋体" w:cs="宋体"/>
          <w:w w:val="105"/>
        </w:rPr>
        <w:t>四、售后服务计划：</w:t>
      </w:r>
    </w:p>
    <w:p>
      <w:pPr>
        <w:spacing w:before="12" w:line="360" w:lineRule="auto"/>
        <w:rPr>
          <w:rFonts w:ascii="宋体" w:hAnsi="宋体" w:cs="宋体"/>
        </w:rPr>
      </w:pPr>
    </w:p>
    <w:p>
      <w:pPr>
        <w:spacing w:line="360" w:lineRule="auto"/>
        <w:ind w:left="758" w:right="107"/>
        <w:jc w:val="left"/>
        <w:rPr>
          <w:rFonts w:ascii="宋体" w:hAnsi="宋体" w:cs="宋体"/>
        </w:rPr>
      </w:pPr>
      <w:r>
        <w:rPr>
          <w:rFonts w:hint="eastAsia" w:ascii="宋体" w:hAnsi="宋体" w:cs="宋体"/>
          <w:w w:val="105"/>
        </w:rPr>
        <w:t>1、响应时间：</w:t>
      </w:r>
    </w:p>
    <w:p>
      <w:pPr>
        <w:spacing w:before="11" w:line="360" w:lineRule="auto"/>
        <w:rPr>
          <w:rFonts w:ascii="宋体" w:hAnsi="宋体" w:cs="宋体"/>
        </w:rPr>
      </w:pPr>
    </w:p>
    <w:p>
      <w:pPr>
        <w:spacing w:line="360" w:lineRule="auto"/>
        <w:ind w:left="758" w:right="107"/>
        <w:jc w:val="left"/>
        <w:rPr>
          <w:rFonts w:ascii="宋体" w:hAnsi="宋体" w:cs="宋体"/>
        </w:rPr>
      </w:pPr>
      <w:r>
        <w:rPr>
          <w:rFonts w:hint="eastAsia" w:ascii="宋体" w:hAnsi="宋体" w:cs="宋体"/>
          <w:w w:val="105"/>
        </w:rPr>
        <w:t>2、解决问题时间：</w:t>
      </w:r>
    </w:p>
    <w:p>
      <w:pPr>
        <w:spacing w:before="6" w:line="360" w:lineRule="auto"/>
        <w:rPr>
          <w:rFonts w:ascii="宋体" w:hAnsi="宋体" w:cs="宋体"/>
        </w:rPr>
      </w:pPr>
    </w:p>
    <w:p>
      <w:pPr>
        <w:spacing w:line="360" w:lineRule="auto"/>
        <w:ind w:left="758" w:right="107"/>
        <w:jc w:val="left"/>
        <w:rPr>
          <w:rFonts w:ascii="宋体" w:hAnsi="宋体" w:cs="宋体"/>
        </w:rPr>
      </w:pPr>
      <w:r>
        <w:rPr>
          <w:rFonts w:hint="eastAsia" w:ascii="宋体" w:hAnsi="宋体" w:cs="宋体"/>
          <w:w w:val="105"/>
        </w:rPr>
        <w:t>3、维修地点及方式：</w:t>
      </w:r>
    </w:p>
    <w:p>
      <w:pPr>
        <w:spacing w:before="11" w:line="360" w:lineRule="auto"/>
        <w:rPr>
          <w:rFonts w:ascii="宋体" w:hAnsi="宋体" w:cs="宋体"/>
        </w:rPr>
      </w:pPr>
    </w:p>
    <w:p>
      <w:pPr>
        <w:spacing w:line="360" w:lineRule="auto"/>
        <w:ind w:left="758" w:right="107"/>
        <w:jc w:val="left"/>
        <w:rPr>
          <w:rFonts w:ascii="宋体" w:hAnsi="宋体" w:cs="宋体"/>
        </w:rPr>
      </w:pPr>
      <w:r>
        <w:rPr>
          <w:rFonts w:hint="eastAsia" w:ascii="宋体" w:hAnsi="宋体" w:cs="宋体"/>
          <w:w w:val="105"/>
        </w:rPr>
        <w:t>4、其他服务承诺：</w:t>
      </w:r>
    </w:p>
    <w:p>
      <w:pPr>
        <w:spacing w:before="5" w:line="360" w:lineRule="auto"/>
        <w:rPr>
          <w:rFonts w:ascii="宋体" w:hAnsi="宋体" w:cs="宋体"/>
        </w:rPr>
      </w:pPr>
    </w:p>
    <w:p>
      <w:pPr>
        <w:pStyle w:val="27"/>
        <w:spacing w:line="360" w:lineRule="auto"/>
        <w:ind w:firstLine="0" w:firstLineChars="0"/>
        <w:rPr>
          <w:rFonts w:ascii="宋体" w:hAnsi="宋体" w:cs="宋体"/>
          <w:w w:val="105"/>
          <w:sz w:val="24"/>
          <w:szCs w:val="24"/>
        </w:rPr>
      </w:pPr>
      <w:r>
        <w:rPr>
          <w:rFonts w:hint="eastAsia" w:ascii="宋体" w:hAnsi="宋体" w:cs="宋体"/>
          <w:spacing w:val="-3"/>
          <w:sz w:val="24"/>
          <w:szCs w:val="24"/>
        </w:rPr>
        <w:t>（按采购文件要求及响应文件相应条款，详细列明主要设备及辅助设备的质保期、响应时间、培训措施、</w:t>
      </w:r>
      <w:r>
        <w:rPr>
          <w:rFonts w:hint="eastAsia" w:ascii="宋体" w:hAnsi="宋体" w:cs="宋体"/>
          <w:w w:val="105"/>
          <w:sz w:val="24"/>
          <w:szCs w:val="24"/>
        </w:rPr>
        <w:t>维修地点、电话、其他服务承诺等事项）。</w:t>
      </w:r>
    </w:p>
    <w:p>
      <w:pPr>
        <w:spacing w:before="43" w:line="360" w:lineRule="auto"/>
        <w:ind w:right="139"/>
        <w:jc w:val="left"/>
        <w:rPr>
          <w:rFonts w:ascii="宋体" w:hAnsi="宋体" w:cs="宋体"/>
          <w:w w:val="105"/>
        </w:rPr>
      </w:pPr>
      <w:r>
        <w:rPr>
          <w:rFonts w:hint="eastAsia" w:ascii="宋体" w:hAnsi="宋体" w:cs="宋体"/>
          <w:spacing w:val="-1"/>
        </w:rPr>
        <w:t>五、合同履行地点及</w:t>
      </w:r>
      <w:r>
        <w:rPr>
          <w:rFonts w:hint="eastAsia" w:ascii="宋体" w:hAnsi="宋体" w:cs="宋体"/>
        </w:rPr>
        <w:t>进度：合同生效后，供方应于年</w:t>
      </w:r>
      <w:r>
        <w:rPr>
          <w:rFonts w:hint="eastAsia" w:ascii="宋体" w:hAnsi="宋体" w:cs="宋体"/>
          <w:u w:val="single"/>
        </w:rPr>
        <w:tab/>
      </w:r>
      <w:r>
        <w:rPr>
          <w:rFonts w:hint="eastAsia" w:ascii="宋体" w:hAnsi="宋体" w:cs="宋体"/>
        </w:rPr>
        <w:t>月</w:t>
      </w:r>
      <w:r>
        <w:rPr>
          <w:rFonts w:hint="eastAsia" w:ascii="宋体" w:hAnsi="宋体" w:cs="宋体"/>
          <w:u w:val="single"/>
        </w:rPr>
        <w:tab/>
      </w:r>
      <w:r>
        <w:rPr>
          <w:rFonts w:hint="eastAsia" w:ascii="宋体" w:hAnsi="宋体" w:cs="宋体"/>
        </w:rPr>
        <w:t>日前按需方要求在（需方指定的地点）完成设备供货、运输、安装调试、服务。设备运送的费用由供方负责。需方应在设备</w:t>
      </w:r>
      <w:r>
        <w:rPr>
          <w:rFonts w:hint="eastAsia" w:ascii="宋体" w:hAnsi="宋体" w:cs="宋体"/>
          <w:w w:val="105"/>
        </w:rPr>
        <w:t>到达指定地点后，提供符合安装条件的场地、电源、环境等。</w:t>
      </w:r>
    </w:p>
    <w:p>
      <w:pPr>
        <w:spacing w:before="43" w:line="360" w:lineRule="auto"/>
        <w:ind w:right="139"/>
        <w:jc w:val="left"/>
        <w:rPr>
          <w:rFonts w:ascii="宋体" w:hAnsi="宋体" w:cs="宋体"/>
        </w:rPr>
      </w:pPr>
      <w:r>
        <w:rPr>
          <w:rFonts w:hint="eastAsia" w:ascii="宋体" w:hAnsi="宋体" w:cs="宋体"/>
        </w:rPr>
        <w:t>六、供方在交付设备时应向需方提供设备的使用说明、合格证书及其它相关资料，否则按不能交货对待。</w:t>
      </w:r>
    </w:p>
    <w:p>
      <w:pPr>
        <w:spacing w:before="43" w:line="360" w:lineRule="auto"/>
        <w:ind w:right="139"/>
        <w:jc w:val="left"/>
        <w:rPr>
          <w:rFonts w:ascii="宋体" w:hAnsi="宋体" w:cs="宋体"/>
        </w:rPr>
      </w:pPr>
      <w:r>
        <w:rPr>
          <w:rFonts w:hint="eastAsia" w:ascii="宋体" w:hAnsi="宋体" w:cs="宋体"/>
        </w:rPr>
        <w:t xml:space="preserve">七、人员培训：供方免费对需方人员进行技术培训，直到需方人员熟练操作或掌握为准。 </w:t>
      </w:r>
    </w:p>
    <w:p>
      <w:pPr>
        <w:tabs>
          <w:tab w:val="left" w:pos="3330"/>
          <w:tab w:val="left" w:pos="6316"/>
        </w:tabs>
        <w:spacing w:line="360" w:lineRule="auto"/>
        <w:ind w:left="480" w:right="1255" w:hanging="480" w:hangingChars="200"/>
        <w:jc w:val="left"/>
        <w:rPr>
          <w:rFonts w:ascii="宋体" w:hAnsi="宋体" w:cs="宋体"/>
        </w:rPr>
      </w:pPr>
      <w:r>
        <w:rPr>
          <w:rFonts w:hint="eastAsia" w:ascii="宋体" w:hAnsi="宋体" w:cs="宋体"/>
        </w:rPr>
        <w:t>培训场地：</w:t>
      </w:r>
      <w:r>
        <w:rPr>
          <w:rFonts w:hint="eastAsia" w:ascii="宋体" w:hAnsi="宋体" w:cs="宋体"/>
          <w:u w:val="single" w:color="000000"/>
        </w:rPr>
        <w:tab/>
      </w:r>
      <w:r>
        <w:rPr>
          <w:rFonts w:hint="eastAsia" w:ascii="宋体" w:hAnsi="宋体" w:cs="宋体"/>
        </w:rPr>
        <w:t>；培训时间：</w:t>
      </w:r>
      <w:r>
        <w:rPr>
          <w:rFonts w:hint="eastAsia" w:ascii="宋体" w:hAnsi="宋体" w:cs="宋体"/>
          <w:u w:val="single" w:color="000000"/>
        </w:rPr>
        <w:tab/>
      </w:r>
      <w:r>
        <w:rPr>
          <w:rFonts w:hint="eastAsia" w:ascii="宋体" w:hAnsi="宋体" w:cs="宋体"/>
          <w:w w:val="105"/>
        </w:rPr>
        <w:t>；</w:t>
      </w:r>
    </w:p>
    <w:p>
      <w:pPr>
        <w:tabs>
          <w:tab w:val="left" w:pos="6322"/>
        </w:tabs>
        <w:spacing w:before="53" w:line="360" w:lineRule="auto"/>
        <w:ind w:right="139"/>
        <w:jc w:val="left"/>
        <w:rPr>
          <w:rFonts w:ascii="宋体" w:hAnsi="宋体" w:cs="宋体"/>
        </w:rPr>
      </w:pPr>
      <w:r>
        <w:rPr>
          <w:rFonts w:hint="eastAsia" w:ascii="宋体" w:hAnsi="宋体" w:cs="宋体"/>
        </w:rPr>
        <w:t>培训方式：</w:t>
      </w:r>
      <w:r>
        <w:rPr>
          <w:rFonts w:hint="eastAsia" w:ascii="宋体" w:hAnsi="宋体" w:cs="宋体"/>
          <w:u w:val="single" w:color="000000"/>
        </w:rPr>
        <w:tab/>
      </w:r>
      <w:r>
        <w:rPr>
          <w:rFonts w:hint="eastAsia" w:ascii="宋体" w:hAnsi="宋体" w:cs="宋体"/>
          <w:w w:val="105"/>
        </w:rPr>
        <w:t>；</w:t>
      </w:r>
    </w:p>
    <w:p>
      <w:pPr>
        <w:spacing w:before="43" w:line="360" w:lineRule="auto"/>
        <w:ind w:right="139"/>
        <w:jc w:val="left"/>
        <w:rPr>
          <w:rFonts w:ascii="宋体" w:hAnsi="宋体" w:cs="宋体"/>
          <w:spacing w:val="-3"/>
        </w:rPr>
      </w:pPr>
      <w:r>
        <w:rPr>
          <w:rFonts w:hint="eastAsia" w:ascii="宋体" w:hAnsi="宋体" w:cs="宋体"/>
          <w:w w:val="105"/>
        </w:rPr>
        <w:t>八、验收要求。</w:t>
      </w:r>
    </w:p>
    <w:p>
      <w:pPr>
        <w:pStyle w:val="27"/>
        <w:spacing w:line="360" w:lineRule="auto"/>
        <w:ind w:firstLine="0" w:firstLineChars="0"/>
        <w:rPr>
          <w:rFonts w:ascii="宋体" w:hAnsi="宋体" w:cs="宋体"/>
          <w:spacing w:val="-3"/>
          <w:sz w:val="24"/>
          <w:szCs w:val="24"/>
        </w:rPr>
      </w:pPr>
      <w:r>
        <w:rPr>
          <w:rFonts w:hint="eastAsia" w:ascii="宋体" w:hAnsi="宋体" w:cs="宋体"/>
          <w:spacing w:val="-3"/>
          <w:sz w:val="24"/>
          <w:szCs w:val="24"/>
        </w:rPr>
        <w:t>1、供方履约完毕及时向需方提出验收申请。</w:t>
      </w:r>
    </w:p>
    <w:p>
      <w:pPr>
        <w:pStyle w:val="27"/>
        <w:numPr>
          <w:ilvl w:val="0"/>
          <w:numId w:val="6"/>
        </w:numPr>
        <w:spacing w:line="360" w:lineRule="auto"/>
        <w:ind w:firstLine="0" w:firstLineChars="0"/>
        <w:rPr>
          <w:rFonts w:ascii="宋体" w:hAnsi="宋体" w:cs="宋体"/>
          <w:spacing w:val="-3"/>
          <w:sz w:val="24"/>
          <w:szCs w:val="24"/>
        </w:rPr>
      </w:pPr>
      <w:r>
        <w:rPr>
          <w:rFonts w:hint="eastAsia" w:ascii="宋体" w:hAnsi="宋体" w:cs="宋体"/>
          <w:spacing w:val="-3"/>
          <w:sz w:val="24"/>
          <w:szCs w:val="24"/>
        </w:rPr>
        <w:t>需方在收到供方验收申请后</w:t>
      </w:r>
      <w:r>
        <w:rPr>
          <w:rFonts w:hint="eastAsia" w:ascii="宋体" w:hAnsi="宋体" w:cs="宋体"/>
          <w:spacing w:val="-3"/>
          <w:sz w:val="24"/>
          <w:szCs w:val="24"/>
        </w:rPr>
        <w:tab/>
      </w:r>
      <w:r>
        <w:rPr>
          <w:rFonts w:hint="eastAsia" w:ascii="宋体" w:hAnsi="宋体" w:cs="宋体"/>
          <w:spacing w:val="-3"/>
          <w:sz w:val="24"/>
          <w:szCs w:val="24"/>
        </w:rPr>
        <w:t>个工作日内组织验收。</w:t>
      </w:r>
    </w:p>
    <w:p>
      <w:pPr>
        <w:pStyle w:val="27"/>
        <w:spacing w:line="360" w:lineRule="auto"/>
        <w:ind w:firstLine="0" w:firstLineChars="0"/>
        <w:rPr>
          <w:rFonts w:ascii="宋体" w:hAnsi="宋体" w:cs="宋体"/>
          <w:spacing w:val="-3"/>
          <w:sz w:val="24"/>
          <w:szCs w:val="24"/>
        </w:rPr>
      </w:pPr>
      <w:r>
        <w:rPr>
          <w:rFonts w:hint="eastAsia" w:ascii="宋体" w:hAnsi="宋体" w:cs="宋体"/>
          <w:spacing w:val="-3"/>
          <w:sz w:val="24"/>
          <w:szCs w:val="24"/>
        </w:rPr>
        <w:t>九、付款程序、方式及期限： 1、供方开具以需方单位名称为抬头的发票。</w:t>
      </w:r>
    </w:p>
    <w:p>
      <w:pPr>
        <w:pStyle w:val="27"/>
        <w:spacing w:line="360" w:lineRule="auto"/>
        <w:ind w:firstLine="0" w:firstLineChars="0"/>
        <w:rPr>
          <w:rFonts w:ascii="宋体" w:hAnsi="宋体" w:cs="宋体"/>
          <w:spacing w:val="-3"/>
          <w:sz w:val="24"/>
          <w:szCs w:val="24"/>
        </w:rPr>
      </w:pPr>
      <w:r>
        <w:rPr>
          <w:rFonts w:hint="eastAsia" w:ascii="宋体" w:hAnsi="宋体" w:cs="宋体"/>
          <w:spacing w:val="-3"/>
          <w:sz w:val="24"/>
          <w:szCs w:val="24"/>
        </w:rPr>
        <w:t>2、付款方式:</w:t>
      </w:r>
    </w:p>
    <w:p>
      <w:pPr>
        <w:pStyle w:val="27"/>
        <w:spacing w:line="360" w:lineRule="auto"/>
        <w:ind w:firstLine="0" w:firstLineChars="0"/>
        <w:rPr>
          <w:rFonts w:ascii="宋体" w:hAnsi="宋体" w:cs="宋体"/>
          <w:sz w:val="24"/>
          <w:szCs w:val="24"/>
        </w:rPr>
      </w:pPr>
      <w:r>
        <w:rPr>
          <w:rFonts w:hint="eastAsia" w:ascii="宋体" w:hAnsi="宋体" w:cs="宋体"/>
          <w:spacing w:val="-3"/>
          <w:sz w:val="24"/>
          <w:szCs w:val="24"/>
        </w:rPr>
        <w:t>十、违约责任供方所交付的货物品种、型号、规格、质量不符合国家规定标准及合同要求的，或者供方不能交付货</w:t>
      </w:r>
      <w:r>
        <w:rPr>
          <w:rFonts w:hint="eastAsia" w:ascii="宋体" w:hAnsi="宋体" w:cs="宋体"/>
          <w:spacing w:val="-1"/>
          <w:sz w:val="24"/>
          <w:szCs w:val="24"/>
        </w:rPr>
        <w:t>物或完成系统安装、调试的，供方应向需方支付合同金额总值</w:t>
      </w:r>
      <w:r>
        <w:rPr>
          <w:rFonts w:hint="eastAsia" w:ascii="宋体" w:hAnsi="宋体" w:cs="宋体"/>
          <w:spacing w:val="-1"/>
          <w:sz w:val="24"/>
          <w:szCs w:val="24"/>
          <w:u w:val="single" w:color="000000"/>
        </w:rPr>
        <w:tab/>
      </w:r>
      <w:r>
        <w:rPr>
          <w:rFonts w:hint="eastAsia" w:ascii="宋体" w:hAnsi="宋体" w:cs="宋体"/>
          <w:spacing w:val="-1"/>
          <w:w w:val="105"/>
          <w:sz w:val="24"/>
          <w:szCs w:val="24"/>
        </w:rPr>
        <w:t>%的违约金，需方有权解除合同，并要求</w:t>
      </w:r>
      <w:r>
        <w:rPr>
          <w:rFonts w:hint="eastAsia" w:ascii="宋体" w:hAnsi="宋体" w:cs="宋体"/>
          <w:sz w:val="24"/>
          <w:szCs w:val="24"/>
        </w:rPr>
        <w:t>赔偿损失。供方如逾期完成的，每逾期一日供方应向需方支付合同金额的</w:t>
      </w:r>
      <w:r>
        <w:rPr>
          <w:rFonts w:hint="eastAsia" w:ascii="宋体" w:hAnsi="宋体" w:cs="宋体"/>
          <w:sz w:val="24"/>
          <w:szCs w:val="24"/>
          <w:u w:val="single" w:color="000000"/>
        </w:rPr>
        <w:tab/>
      </w:r>
      <w:r>
        <w:rPr>
          <w:rFonts w:hint="eastAsia" w:ascii="宋体" w:hAnsi="宋体" w:cs="宋体"/>
          <w:w w:val="105"/>
          <w:sz w:val="24"/>
          <w:szCs w:val="24"/>
        </w:rPr>
        <w:t>%违约金。</w:t>
      </w:r>
    </w:p>
    <w:p>
      <w:pPr>
        <w:spacing w:before="43" w:line="360" w:lineRule="auto"/>
        <w:ind w:right="139" w:firstLine="480" w:firstLineChars="200"/>
        <w:jc w:val="left"/>
        <w:rPr>
          <w:rFonts w:ascii="宋体" w:hAnsi="宋体" w:cs="宋体"/>
        </w:rPr>
      </w:pPr>
      <w:r>
        <w:rPr>
          <w:rFonts w:hint="eastAsia" w:ascii="宋体" w:hAnsi="宋体" w:cs="宋体"/>
        </w:rPr>
        <w:t>供方所交的货物不符合合同规定，需方有权拒收货物，供方应负责更换并承担因更换而支付的实际费</w:t>
      </w:r>
      <w:r>
        <w:rPr>
          <w:rFonts w:hint="eastAsia" w:ascii="宋体" w:hAnsi="宋体" w:cs="宋体"/>
          <w:w w:val="105"/>
        </w:rPr>
        <w:t>用，因更换而造成逾期交货，则按逾期交货处理。</w:t>
      </w:r>
    </w:p>
    <w:p>
      <w:pPr>
        <w:tabs>
          <w:tab w:val="left" w:pos="8486"/>
        </w:tabs>
        <w:spacing w:before="40" w:line="360" w:lineRule="auto"/>
        <w:ind w:right="139" w:firstLine="480" w:firstLineChars="200"/>
        <w:jc w:val="left"/>
        <w:rPr>
          <w:rFonts w:ascii="宋体" w:hAnsi="宋体" w:cs="宋体"/>
        </w:rPr>
      </w:pPr>
      <w:r>
        <w:rPr>
          <w:rFonts w:hint="eastAsia" w:ascii="宋体" w:hAnsi="宋体" w:cs="宋体"/>
        </w:rPr>
        <w:t>需方无正当理由拒收设备、拒付货款，需方应向供方偿付拒收拒付部分设备款总额</w:t>
      </w:r>
      <w:r>
        <w:rPr>
          <w:rFonts w:hint="eastAsia" w:ascii="宋体" w:hAnsi="宋体" w:cs="宋体"/>
          <w:w w:val="105"/>
        </w:rPr>
        <w:t>%的违约金；</w:t>
      </w:r>
      <w:r>
        <w:rPr>
          <w:rFonts w:hint="eastAsia" w:ascii="宋体" w:hAnsi="宋体" w:cs="宋体"/>
        </w:rPr>
        <w:t>需方如逾期付款的，每逾期付款一日的需方应向供方偿付所欠合同金额</w:t>
      </w:r>
      <w:r>
        <w:rPr>
          <w:rFonts w:hint="eastAsia" w:ascii="宋体" w:hAnsi="宋体" w:cs="宋体"/>
          <w:w w:val="105"/>
        </w:rPr>
        <w:t>%的违约金。</w:t>
      </w:r>
    </w:p>
    <w:p>
      <w:pPr>
        <w:numPr>
          <w:ilvl w:val="0"/>
          <w:numId w:val="7"/>
        </w:numPr>
        <w:spacing w:before="43" w:line="360" w:lineRule="auto"/>
        <w:ind w:right="139"/>
        <w:jc w:val="left"/>
        <w:rPr>
          <w:rFonts w:ascii="宋体" w:hAnsi="宋体" w:cs="宋体"/>
          <w:w w:val="105"/>
        </w:rPr>
      </w:pPr>
      <w:r>
        <w:rPr>
          <w:rFonts w:hint="eastAsia" w:ascii="宋体" w:hAnsi="宋体" w:cs="宋体"/>
          <w:w w:val="105"/>
        </w:rPr>
        <w:t>供需双方应严格遵守采购文件要求，如有违反，按采购文件的规定处理。</w:t>
      </w:r>
    </w:p>
    <w:p>
      <w:pPr>
        <w:numPr>
          <w:ilvl w:val="0"/>
          <w:numId w:val="7"/>
        </w:numPr>
        <w:spacing w:before="43" w:line="360" w:lineRule="auto"/>
        <w:ind w:right="139"/>
        <w:jc w:val="left"/>
        <w:rPr>
          <w:rFonts w:ascii="宋体" w:hAnsi="宋体" w:cs="宋体"/>
        </w:rPr>
      </w:pPr>
      <w:r>
        <w:rPr>
          <w:rFonts w:hint="eastAsia" w:ascii="宋体" w:hAnsi="宋体" w:cs="宋体"/>
          <w:w w:val="105"/>
        </w:rPr>
        <w:t>因设备的质量问题发生争议，由法定的技术鉴定部门进行质量鉴定。</w:t>
      </w:r>
    </w:p>
    <w:p>
      <w:pPr>
        <w:spacing w:before="43" w:line="360" w:lineRule="auto"/>
        <w:ind w:right="139"/>
        <w:jc w:val="left"/>
        <w:rPr>
          <w:rFonts w:ascii="宋体" w:hAnsi="宋体" w:cs="宋体"/>
        </w:rPr>
      </w:pPr>
      <w:r>
        <w:rPr>
          <w:rFonts w:hint="eastAsia" w:ascii="宋体" w:hAnsi="宋体" w:cs="宋体"/>
        </w:rPr>
        <w:t>十三、采购文件及其修改和澄清（投标记录），及供方在投标中的有关承诺及声明均为本合同的组成</w:t>
      </w:r>
      <w:r>
        <w:rPr>
          <w:rFonts w:hint="eastAsia" w:ascii="宋体" w:hAnsi="宋体" w:cs="宋体"/>
          <w:w w:val="105"/>
        </w:rPr>
        <w:t>部分。</w:t>
      </w:r>
    </w:p>
    <w:p>
      <w:pPr>
        <w:spacing w:line="360" w:lineRule="auto"/>
        <w:ind w:right="139"/>
        <w:jc w:val="left"/>
        <w:rPr>
          <w:rFonts w:ascii="宋体" w:hAnsi="宋体" w:cs="宋体"/>
        </w:rPr>
      </w:pPr>
      <w:r>
        <w:rPr>
          <w:rFonts w:hint="eastAsia" w:ascii="宋体" w:hAnsi="宋体" w:cs="宋体"/>
        </w:rPr>
        <w:t>十四、本合同签订和履行适用中华人民共和国法律，因履行合同发生的争议，由供需双方友好协商解</w:t>
      </w:r>
      <w:r>
        <w:rPr>
          <w:rFonts w:hint="eastAsia" w:ascii="宋体" w:hAnsi="宋体" w:cs="宋体"/>
          <w:w w:val="105"/>
        </w:rPr>
        <w:t>决，如协商不成的，任何一方均可向签订合同地人民法院提起诉讼。</w:t>
      </w:r>
    </w:p>
    <w:p>
      <w:pPr>
        <w:spacing w:before="43" w:line="360" w:lineRule="auto"/>
        <w:ind w:right="204"/>
        <w:rPr>
          <w:rFonts w:ascii="宋体" w:hAnsi="宋体" w:cs="宋体"/>
        </w:rPr>
      </w:pPr>
      <w:r>
        <w:rPr>
          <w:rFonts w:hint="eastAsia" w:ascii="宋体" w:hAnsi="宋体" w:cs="宋体"/>
        </w:rPr>
        <w:t>十五、本合同未尽事宜，供需双方可签订补充协议，与本合同具有同等法律效力，但不能违反采购文件及供方的投标或报价文件所规定的实质性条款。</w:t>
      </w:r>
    </w:p>
    <w:p>
      <w:pPr>
        <w:spacing w:before="43" w:line="360" w:lineRule="auto"/>
        <w:ind w:right="204"/>
        <w:rPr>
          <w:rFonts w:ascii="宋体" w:hAnsi="宋体" w:cs="宋体"/>
        </w:rPr>
      </w:pPr>
      <w:r>
        <w:rPr>
          <w:rFonts w:hint="eastAsia" w:ascii="宋体" w:hAnsi="宋体" w:cs="宋体"/>
        </w:rPr>
        <w:t>十六、知识产权</w:t>
      </w:r>
    </w:p>
    <w:p>
      <w:pPr>
        <w:spacing w:before="43" w:line="360" w:lineRule="auto"/>
        <w:ind w:left="139" w:right="204" w:firstLine="411"/>
        <w:rPr>
          <w:rFonts w:ascii="宋体" w:hAnsi="宋体" w:cs="宋体"/>
        </w:rPr>
      </w:pPr>
      <w:r>
        <w:rPr>
          <w:rFonts w:hint="eastAsia" w:ascii="宋体" w:hAnsi="宋体" w:cs="宋体"/>
        </w:rPr>
        <w:t>供方须保障需方在使用该项目或其任何一部分时不受到第三方关于侵犯专利权、商标权或工业设计权的指控。如果任何第三方提出侵权指控，供方须与第三方交涉并承担可能发生的一切费用。如需方因此而</w:t>
      </w:r>
      <w:r>
        <w:rPr>
          <w:rFonts w:hint="eastAsia" w:ascii="宋体" w:hAnsi="宋体" w:cs="宋体"/>
          <w:w w:val="105"/>
        </w:rPr>
        <w:t>遭致损失的，供方应赔偿该损失。</w:t>
      </w:r>
    </w:p>
    <w:p>
      <w:pPr>
        <w:spacing w:before="49" w:line="360" w:lineRule="auto"/>
        <w:jc w:val="left"/>
        <w:rPr>
          <w:rFonts w:ascii="宋体" w:hAnsi="宋体" w:cs="宋体"/>
        </w:rPr>
      </w:pPr>
      <w:r>
        <w:rPr>
          <w:rFonts w:hint="eastAsia" w:ascii="宋体" w:hAnsi="宋体" w:cs="宋体"/>
          <w:w w:val="105"/>
        </w:rPr>
        <w:t>十七、合同生效及其它本合同经双方代表签字并加盖公章后生效。需方应在合同签订后七日内报财政局备案。</w:t>
      </w:r>
      <w:r>
        <w:rPr>
          <w:rFonts w:hint="eastAsia" w:ascii="宋体" w:hAnsi="宋体" w:cs="宋体"/>
          <w:spacing w:val="-1"/>
        </w:rPr>
        <w:t>本合同一式六份，供需双方各持一份，向财政局备案二份，存档一份，办理资金支付手续时提交一份。</w:t>
      </w:r>
    </w:p>
    <w:p>
      <w:pPr>
        <w:rPr>
          <w:rFonts w:ascii="宋体" w:hAnsi="宋体" w:cs="宋体"/>
        </w:rPr>
      </w:pPr>
      <w:r>
        <w:rPr>
          <w:rFonts w:hint="eastAsia" w:ascii="宋体" w:hAnsi="宋体" w:cs="宋体"/>
        </w:rPr>
        <w:br w:type="page"/>
      </w:r>
    </w:p>
    <w:p>
      <w:pPr>
        <w:tabs>
          <w:tab w:val="left" w:pos="4257"/>
        </w:tabs>
        <w:spacing w:before="172" w:line="360" w:lineRule="auto"/>
        <w:ind w:left="139"/>
        <w:jc w:val="left"/>
        <w:rPr>
          <w:rFonts w:ascii="宋体" w:hAnsi="宋体" w:cs="宋体"/>
        </w:rPr>
      </w:pPr>
      <w:r>
        <w:rPr>
          <w:rFonts w:hint="eastAsia" w:ascii="宋体" w:hAnsi="宋体" w:cs="宋体"/>
        </w:rPr>
        <w:t>供方（公章）：</w:t>
      </w:r>
      <w:r>
        <w:rPr>
          <w:rFonts w:hint="eastAsia" w:ascii="宋体" w:hAnsi="宋体" w:cs="宋体"/>
        </w:rPr>
        <w:tab/>
      </w:r>
      <w:r>
        <w:rPr>
          <w:rFonts w:hint="eastAsia" w:ascii="宋体" w:hAnsi="宋体" w:cs="宋体"/>
          <w:w w:val="105"/>
        </w:rPr>
        <w:t>需方（公章）：</w:t>
      </w:r>
    </w:p>
    <w:p>
      <w:pPr>
        <w:spacing w:before="10" w:line="360" w:lineRule="auto"/>
        <w:rPr>
          <w:rFonts w:ascii="宋体" w:hAnsi="宋体" w:cs="宋体"/>
        </w:rPr>
      </w:pPr>
    </w:p>
    <w:p>
      <w:pPr>
        <w:tabs>
          <w:tab w:val="left" w:pos="4261"/>
        </w:tabs>
        <w:spacing w:line="360" w:lineRule="auto"/>
        <w:ind w:left="139"/>
        <w:jc w:val="left"/>
        <w:rPr>
          <w:rFonts w:ascii="宋体" w:hAnsi="宋体" w:cs="宋体"/>
        </w:rPr>
      </w:pPr>
      <w:r>
        <w:rPr>
          <w:rFonts w:hint="eastAsia" w:ascii="宋体" w:hAnsi="宋体" w:cs="宋体"/>
          <w:spacing w:val="-1"/>
        </w:rPr>
        <w:t>地址：</w:t>
      </w:r>
      <w:r>
        <w:rPr>
          <w:rFonts w:hint="eastAsia" w:ascii="宋体" w:hAnsi="宋体" w:cs="宋体"/>
          <w:spacing w:val="-1"/>
        </w:rPr>
        <w:tab/>
      </w:r>
      <w:r>
        <w:rPr>
          <w:rFonts w:hint="eastAsia" w:ascii="宋体" w:hAnsi="宋体" w:cs="宋体"/>
          <w:w w:val="105"/>
        </w:rPr>
        <w:t>地址：</w:t>
      </w:r>
    </w:p>
    <w:p>
      <w:pPr>
        <w:spacing w:before="6" w:line="360" w:lineRule="auto"/>
        <w:rPr>
          <w:rFonts w:ascii="宋体" w:hAnsi="宋体" w:cs="宋体"/>
        </w:rPr>
      </w:pPr>
    </w:p>
    <w:p>
      <w:pPr>
        <w:tabs>
          <w:tab w:val="left" w:pos="4257"/>
        </w:tabs>
        <w:spacing w:line="360" w:lineRule="auto"/>
        <w:ind w:left="139"/>
        <w:jc w:val="left"/>
        <w:rPr>
          <w:rFonts w:ascii="宋体" w:hAnsi="宋体" w:cs="宋体"/>
        </w:rPr>
      </w:pPr>
      <w:r>
        <w:rPr>
          <w:rFonts w:hint="eastAsia" w:ascii="宋体" w:hAnsi="宋体" w:cs="宋体"/>
        </w:rPr>
        <w:t>法定代表人或委托</w:t>
      </w:r>
      <w:r>
        <w:rPr>
          <w:rFonts w:hint="eastAsia" w:ascii="宋体" w:hAnsi="宋体" w:cs="宋体"/>
        </w:rPr>
        <w:tab/>
      </w:r>
      <w:r>
        <w:rPr>
          <w:rFonts w:hint="eastAsia" w:ascii="宋体" w:hAnsi="宋体" w:cs="宋体"/>
          <w:w w:val="105"/>
        </w:rPr>
        <w:t>法定代表人或委托</w:t>
      </w:r>
    </w:p>
    <w:p>
      <w:pPr>
        <w:spacing w:before="11" w:line="360" w:lineRule="auto"/>
        <w:rPr>
          <w:rFonts w:ascii="宋体" w:hAnsi="宋体" w:cs="宋体"/>
        </w:rPr>
      </w:pPr>
    </w:p>
    <w:p>
      <w:pPr>
        <w:tabs>
          <w:tab w:val="left" w:pos="4257"/>
        </w:tabs>
        <w:spacing w:line="360" w:lineRule="auto"/>
        <w:ind w:left="139"/>
        <w:jc w:val="left"/>
        <w:rPr>
          <w:rFonts w:ascii="宋体" w:hAnsi="宋体" w:cs="宋体"/>
        </w:rPr>
      </w:pPr>
      <w:r>
        <w:rPr>
          <w:rFonts w:hint="eastAsia" w:ascii="宋体" w:hAnsi="宋体" w:cs="宋体"/>
        </w:rPr>
        <w:t>代理人（签字）：</w:t>
      </w:r>
      <w:r>
        <w:rPr>
          <w:rFonts w:hint="eastAsia" w:ascii="宋体" w:hAnsi="宋体" w:cs="宋体"/>
        </w:rPr>
        <w:tab/>
      </w:r>
      <w:r>
        <w:rPr>
          <w:rFonts w:hint="eastAsia" w:ascii="宋体" w:hAnsi="宋体" w:cs="宋体"/>
          <w:w w:val="105"/>
        </w:rPr>
        <w:t>代理人（签字）：</w:t>
      </w:r>
    </w:p>
    <w:p>
      <w:pPr>
        <w:spacing w:before="12" w:line="360" w:lineRule="auto"/>
        <w:rPr>
          <w:rFonts w:ascii="宋体" w:hAnsi="宋体" w:cs="宋体"/>
        </w:rPr>
      </w:pPr>
    </w:p>
    <w:p>
      <w:pPr>
        <w:tabs>
          <w:tab w:val="left" w:pos="4261"/>
        </w:tabs>
        <w:spacing w:line="360" w:lineRule="auto"/>
        <w:ind w:left="139"/>
        <w:jc w:val="left"/>
        <w:rPr>
          <w:rFonts w:ascii="宋体" w:hAnsi="宋体" w:cs="宋体"/>
        </w:rPr>
      </w:pPr>
      <w:r>
        <w:rPr>
          <w:rFonts w:hint="eastAsia" w:ascii="宋体" w:hAnsi="宋体" w:cs="宋体"/>
          <w:spacing w:val="-1"/>
        </w:rPr>
        <w:t>电话：</w:t>
      </w:r>
      <w:r>
        <w:rPr>
          <w:rFonts w:hint="eastAsia" w:ascii="宋体" w:hAnsi="宋体" w:cs="宋体"/>
          <w:spacing w:val="-1"/>
        </w:rPr>
        <w:tab/>
      </w:r>
      <w:r>
        <w:rPr>
          <w:rFonts w:hint="eastAsia" w:ascii="宋体" w:hAnsi="宋体" w:cs="宋体"/>
          <w:w w:val="105"/>
        </w:rPr>
        <w:t>电话：</w:t>
      </w:r>
    </w:p>
    <w:p>
      <w:pPr>
        <w:spacing w:before="5" w:line="360" w:lineRule="auto"/>
        <w:rPr>
          <w:rFonts w:ascii="宋体" w:hAnsi="宋体" w:cs="宋体"/>
        </w:rPr>
      </w:pPr>
    </w:p>
    <w:p>
      <w:pPr>
        <w:tabs>
          <w:tab w:val="left" w:pos="4261"/>
        </w:tabs>
        <w:spacing w:line="360" w:lineRule="auto"/>
        <w:ind w:left="139"/>
        <w:jc w:val="left"/>
        <w:rPr>
          <w:rFonts w:ascii="宋体" w:hAnsi="宋体" w:cs="宋体"/>
        </w:rPr>
      </w:pPr>
      <w:r>
        <w:rPr>
          <w:rFonts w:hint="eastAsia" w:ascii="宋体" w:hAnsi="宋体" w:cs="宋体"/>
        </w:rPr>
        <w:t>开户银行：</w:t>
      </w:r>
      <w:r>
        <w:rPr>
          <w:rFonts w:hint="eastAsia" w:ascii="宋体" w:hAnsi="宋体" w:cs="宋体"/>
        </w:rPr>
        <w:tab/>
      </w:r>
      <w:r>
        <w:rPr>
          <w:rFonts w:hint="eastAsia" w:ascii="宋体" w:hAnsi="宋体" w:cs="宋体"/>
          <w:w w:val="105"/>
        </w:rPr>
        <w:t>开户银行：</w:t>
      </w:r>
    </w:p>
    <w:p>
      <w:pPr>
        <w:spacing w:before="12" w:line="360" w:lineRule="auto"/>
        <w:rPr>
          <w:rFonts w:ascii="宋体" w:hAnsi="宋体" w:cs="宋体"/>
        </w:rPr>
      </w:pPr>
    </w:p>
    <w:p>
      <w:pPr>
        <w:tabs>
          <w:tab w:val="left" w:pos="4261"/>
        </w:tabs>
        <w:spacing w:line="360" w:lineRule="auto"/>
        <w:ind w:left="139"/>
        <w:jc w:val="left"/>
        <w:rPr>
          <w:rFonts w:ascii="宋体" w:hAnsi="宋体" w:cs="宋体"/>
        </w:rPr>
      </w:pPr>
      <w:r>
        <w:rPr>
          <w:rFonts w:hint="eastAsia" w:ascii="宋体" w:hAnsi="宋体" w:cs="宋体"/>
          <w:spacing w:val="-1"/>
        </w:rPr>
        <w:t>账号：</w:t>
      </w:r>
      <w:r>
        <w:rPr>
          <w:rFonts w:hint="eastAsia" w:ascii="宋体" w:hAnsi="宋体" w:cs="宋体"/>
          <w:spacing w:val="-1"/>
        </w:rPr>
        <w:tab/>
      </w:r>
      <w:r>
        <w:rPr>
          <w:rFonts w:hint="eastAsia" w:ascii="宋体" w:hAnsi="宋体" w:cs="宋体"/>
          <w:w w:val="105"/>
        </w:rPr>
        <w:t>账号</w:t>
      </w:r>
    </w:p>
    <w:p>
      <w:pPr>
        <w:spacing w:before="5" w:line="360" w:lineRule="auto"/>
        <w:rPr>
          <w:rFonts w:ascii="宋体" w:hAnsi="宋体" w:cs="宋体"/>
        </w:rPr>
      </w:pPr>
    </w:p>
    <w:p>
      <w:pPr>
        <w:tabs>
          <w:tab w:val="left" w:pos="1785"/>
          <w:tab w:val="left" w:pos="2508"/>
          <w:tab w:val="left" w:pos="3126"/>
        </w:tabs>
        <w:spacing w:line="360" w:lineRule="auto"/>
        <w:ind w:left="139"/>
        <w:jc w:val="left"/>
        <w:rPr>
          <w:rFonts w:ascii="宋体" w:hAnsi="宋体" w:cs="宋体"/>
        </w:rPr>
      </w:pPr>
      <w:r>
        <w:rPr>
          <w:rFonts w:hint="eastAsia" w:ascii="宋体" w:hAnsi="宋体" w:cs="宋体"/>
        </w:rPr>
        <w:t>签约时间：</w:t>
      </w:r>
      <w:r>
        <w:rPr>
          <w:rFonts w:hint="eastAsia" w:ascii="宋体" w:hAnsi="宋体" w:cs="宋体"/>
          <w:u w:val="single" w:color="000000"/>
        </w:rPr>
        <w:tab/>
      </w:r>
      <w:r>
        <w:rPr>
          <w:rFonts w:hint="eastAsia" w:ascii="宋体" w:hAnsi="宋体" w:cs="宋体"/>
        </w:rPr>
        <w:t>年</w:t>
      </w:r>
      <w:r>
        <w:rPr>
          <w:rFonts w:hint="eastAsia" w:ascii="宋体" w:hAnsi="宋体" w:cs="宋体"/>
          <w:u w:val="single" w:color="000000"/>
        </w:rPr>
        <w:tab/>
      </w:r>
      <w:r>
        <w:rPr>
          <w:rFonts w:hint="eastAsia" w:ascii="宋体" w:hAnsi="宋体" w:cs="宋体"/>
        </w:rPr>
        <w:t>月</w:t>
      </w:r>
      <w:r>
        <w:rPr>
          <w:rFonts w:hint="eastAsia" w:ascii="宋体" w:hAnsi="宋体" w:cs="宋体"/>
          <w:u w:val="single" w:color="000000"/>
        </w:rPr>
        <w:tab/>
      </w:r>
      <w:r>
        <w:rPr>
          <w:rFonts w:hint="eastAsia" w:ascii="宋体" w:hAnsi="宋体" w:cs="宋体"/>
          <w:w w:val="105"/>
        </w:rPr>
        <w:t>日</w:t>
      </w:r>
    </w:p>
    <w:p>
      <w:pPr>
        <w:spacing w:before="41" w:line="360" w:lineRule="auto"/>
        <w:ind w:right="139"/>
        <w:jc w:val="left"/>
        <w:rPr>
          <w:rFonts w:ascii="宋体" w:hAnsi="宋体" w:cs="宋体"/>
          <w:w w:val="105"/>
        </w:rPr>
      </w:pPr>
    </w:p>
    <w:p>
      <w:pPr>
        <w:spacing w:before="41" w:line="360" w:lineRule="auto"/>
        <w:ind w:right="139" w:firstLine="252" w:firstLineChars="100"/>
        <w:jc w:val="left"/>
        <w:rPr>
          <w:rFonts w:ascii="宋体" w:hAnsi="宋体" w:cs="宋体"/>
        </w:rPr>
      </w:pPr>
      <w:r>
        <w:rPr>
          <w:rFonts w:hint="eastAsia" w:ascii="宋体" w:hAnsi="宋体" w:cs="宋体"/>
          <w:w w:val="105"/>
        </w:rPr>
        <w:t>签约地址：需方所在地</w:t>
      </w:r>
    </w:p>
    <w:p>
      <w:pPr>
        <w:spacing w:line="360" w:lineRule="auto"/>
        <w:rPr>
          <w:rFonts w:ascii="宋体" w:hAnsi="宋体" w:cs="宋体"/>
          <w:w w:val="105"/>
          <w:sz w:val="20"/>
          <w:szCs w:val="20"/>
        </w:rPr>
      </w:pPr>
      <w:r>
        <w:rPr>
          <w:rFonts w:hint="eastAsia" w:ascii="宋体" w:hAnsi="宋体" w:cs="宋体"/>
          <w:w w:val="105"/>
          <w:sz w:val="20"/>
          <w:szCs w:val="20"/>
        </w:rPr>
        <w:br w:type="page"/>
      </w:r>
    </w:p>
    <w:p>
      <w:pPr>
        <w:pStyle w:val="3"/>
        <w:spacing w:line="360" w:lineRule="auto"/>
        <w:ind w:right="139" w:firstLine="1325" w:firstLineChars="300"/>
        <w:rPr>
          <w:rFonts w:hint="eastAsia"/>
        </w:rPr>
      </w:pPr>
      <w:bookmarkStart w:id="57" w:name="_Toc30673"/>
      <w:bookmarkStart w:id="58" w:name="_TOC_250002"/>
      <w:bookmarkStart w:id="59" w:name="_Toc8773"/>
      <w:r>
        <w:t>第</w:t>
      </w:r>
      <w:r>
        <w:rPr>
          <w:rFonts w:hint="eastAsia"/>
        </w:rPr>
        <w:t>四</w:t>
      </w:r>
      <w:r>
        <w:t>章采购清单</w:t>
      </w:r>
      <w:bookmarkEnd w:id="57"/>
      <w:bookmarkEnd w:id="58"/>
      <w:r>
        <w:rPr>
          <w:rFonts w:hint="eastAsia"/>
        </w:rPr>
        <w:t>及技术参数要求</w:t>
      </w:r>
      <w:bookmarkEnd w:id="59"/>
    </w:p>
    <w:p/>
    <w:p>
      <w:pPr>
        <w:spacing w:line="360" w:lineRule="auto"/>
        <w:jc w:val="left"/>
        <w:rPr>
          <w:rFonts w:hint="eastAsia"/>
          <w:sz w:val="32"/>
          <w:szCs w:val="32"/>
        </w:rPr>
      </w:pPr>
      <w:r>
        <w:rPr>
          <w:rFonts w:hint="eastAsia"/>
          <w:sz w:val="32"/>
          <w:szCs w:val="32"/>
        </w:rPr>
        <w:t>采购清单：</w:t>
      </w:r>
    </w:p>
    <w:tbl>
      <w:tblPr>
        <w:tblStyle w:val="28"/>
        <w:tblpPr w:leftFromText="180" w:rightFromText="180" w:vertAnchor="text" w:horzAnchor="page" w:tblpX="1648" w:tblpY="113"/>
        <w:tblOverlap w:val="never"/>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667"/>
        <w:gridCol w:w="210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45"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2100"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1165"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color w:val="auto"/>
                <w:sz w:val="21"/>
                <w:szCs w:val="21"/>
                <w:lang w:val="en-US" w:eastAsia="zh-CN"/>
              </w:rPr>
              <w:t>智能交互平板（核心产品）</w:t>
            </w:r>
          </w:p>
        </w:tc>
        <w:tc>
          <w:tcPr>
            <w:tcW w:w="210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台</w:t>
            </w:r>
          </w:p>
        </w:tc>
        <w:tc>
          <w:tcPr>
            <w:tcW w:w="116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sz w:val="21"/>
                <w:szCs w:val="21"/>
              </w:rPr>
              <w:t>液晶触摸一体机</w:t>
            </w:r>
          </w:p>
        </w:tc>
        <w:tc>
          <w:tcPr>
            <w:tcW w:w="2100"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color w:val="auto"/>
                <w:sz w:val="21"/>
                <w:szCs w:val="21"/>
              </w:rPr>
              <w:t>插拔式电脑模块</w:t>
            </w:r>
          </w:p>
        </w:tc>
        <w:tc>
          <w:tcPr>
            <w:tcW w:w="2100"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color w:val="auto"/>
                <w:sz w:val="21"/>
                <w:szCs w:val="21"/>
              </w:rPr>
              <w:t>智能书写笔</w:t>
            </w:r>
          </w:p>
        </w:tc>
        <w:tc>
          <w:tcPr>
            <w:tcW w:w="2100"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支</w:t>
            </w:r>
          </w:p>
        </w:tc>
        <w:tc>
          <w:tcPr>
            <w:tcW w:w="116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color w:val="auto"/>
                <w:sz w:val="21"/>
                <w:szCs w:val="21"/>
                <w:vertAlign w:val="baseline"/>
                <w:lang w:val="en-US" w:eastAsia="zh-CN"/>
              </w:rPr>
              <w:t>壁挂展台</w:t>
            </w:r>
          </w:p>
        </w:tc>
        <w:tc>
          <w:tcPr>
            <w:tcW w:w="2100"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466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val="0"/>
                <w:color w:val="auto"/>
                <w:sz w:val="21"/>
                <w:szCs w:val="21"/>
                <w:vertAlign w:val="baseline"/>
                <w:lang w:val="en-US" w:eastAsia="zh-CN"/>
              </w:rPr>
              <w:t>推拉绿板</w:t>
            </w:r>
          </w:p>
        </w:tc>
        <w:tc>
          <w:tcPr>
            <w:tcW w:w="2100"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w:t>
            </w:r>
          </w:p>
        </w:tc>
        <w:tc>
          <w:tcPr>
            <w:tcW w:w="4667" w:type="dxa"/>
            <w:vAlign w:val="center"/>
          </w:tcPr>
          <w:p>
            <w:pPr>
              <w:adjustRightInd w:val="0"/>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kern w:val="2"/>
                <w:sz w:val="21"/>
                <w:szCs w:val="21"/>
                <w:lang w:val="en-US" w:eastAsia="zh-CN" w:bidi="ar"/>
              </w:rPr>
              <w:t>安全过滤软件</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4667" w:type="dxa"/>
            <w:vAlign w:val="center"/>
          </w:tcPr>
          <w:p>
            <w:pPr>
              <w:adjustRightInd w:val="0"/>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kern w:val="2"/>
                <w:sz w:val="21"/>
                <w:szCs w:val="21"/>
                <w:lang w:val="en-US" w:eastAsia="zh-CN" w:bidi="ar"/>
              </w:rPr>
              <w:t>智慧黑板</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9</w:t>
            </w:r>
          </w:p>
        </w:tc>
        <w:tc>
          <w:tcPr>
            <w:tcW w:w="4667" w:type="dxa"/>
            <w:vAlign w:val="center"/>
          </w:tcPr>
          <w:p>
            <w:pPr>
              <w:adjustRightInd w:val="0"/>
              <w:snapToGrid w:val="0"/>
              <w:spacing w:line="360" w:lineRule="auto"/>
              <w:jc w:val="center"/>
              <w:rPr>
                <w:rFonts w:hint="eastAsia" w:ascii="宋体" w:hAnsi="宋体" w:eastAsia="宋体" w:cs="宋体"/>
                <w:b w:val="0"/>
                <w:bCs w:val="0"/>
                <w:color w:val="auto"/>
                <w:kern w:val="2"/>
                <w:sz w:val="21"/>
                <w:szCs w:val="21"/>
                <w:lang w:val="en-US" w:eastAsia="zh-CN" w:bidi="ar"/>
              </w:rPr>
            </w:pPr>
            <w:r>
              <w:rPr>
                <w:rFonts w:hint="eastAsia" w:ascii="宋体" w:hAnsi="宋体" w:cs="宋体"/>
                <w:b w:val="0"/>
                <w:bCs w:val="0"/>
                <w:color w:val="auto"/>
                <w:kern w:val="2"/>
                <w:sz w:val="21"/>
                <w:szCs w:val="21"/>
                <w:lang w:val="en-US" w:eastAsia="zh-CN" w:bidi="ar"/>
              </w:rPr>
              <w:t>施工与辅助材料</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10</w:t>
            </w:r>
          </w:p>
        </w:tc>
        <w:tc>
          <w:tcPr>
            <w:tcW w:w="4667" w:type="dxa"/>
            <w:vAlign w:val="center"/>
          </w:tcPr>
          <w:p>
            <w:pPr>
              <w:adjustRightInd w:val="0"/>
              <w:snapToGrid w:val="0"/>
              <w:spacing w:line="360" w:lineRule="auto"/>
              <w:jc w:val="center"/>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sz w:val="21"/>
                <w:szCs w:val="21"/>
                <w:lang w:val="en-US" w:eastAsia="zh-CN"/>
              </w:rPr>
              <w:t>无线录播主机</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11</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录播软件系统</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12</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高清云台摄像机</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13</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摄像机三脚架</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个</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14</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无线话筒套装</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15</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无线传输模块</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16</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航空箱</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套</w:t>
            </w:r>
          </w:p>
        </w:tc>
        <w:tc>
          <w:tcPr>
            <w:tcW w:w="1165" w:type="dxa"/>
            <w:vAlign w:val="center"/>
          </w:tcPr>
          <w:p>
            <w:pPr>
              <w:adjustRightInd w:val="0"/>
              <w:snapToGrid w:val="0"/>
              <w:spacing w:line="360"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17</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电视机</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台</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18</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教师演示台</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张</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19</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学生实验桌</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张</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20</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功能柱</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个</w:t>
            </w:r>
          </w:p>
        </w:tc>
        <w:tc>
          <w:tcPr>
            <w:tcW w:w="116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21</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水槽柜</w:t>
            </w:r>
          </w:p>
        </w:tc>
        <w:tc>
          <w:tcPr>
            <w:tcW w:w="2100" w:type="dxa"/>
            <w:vAlign w:val="center"/>
          </w:tcPr>
          <w:p>
            <w:pPr>
              <w:adjustRightInd w:val="0"/>
              <w:snapToGrid w:val="0"/>
              <w:spacing w:line="360" w:lineRule="auto"/>
              <w:jc w:val="center"/>
              <w:rPr>
                <w:rFonts w:hint="eastAsia" w:ascii="宋体" w:hAnsi="宋体" w:cs="宋体"/>
                <w:sz w:val="24"/>
                <w:szCs w:val="24"/>
                <w:lang w:eastAsia="zh-CN"/>
              </w:rPr>
            </w:pPr>
            <w:r>
              <w:rPr>
                <w:rFonts w:hint="eastAsia" w:ascii="宋体" w:hAnsi="宋体" w:cs="宋体"/>
                <w:sz w:val="24"/>
                <w:szCs w:val="24"/>
                <w:lang w:eastAsia="zh-CN"/>
              </w:rPr>
              <w:t>个</w:t>
            </w:r>
          </w:p>
        </w:tc>
        <w:tc>
          <w:tcPr>
            <w:tcW w:w="1165" w:type="dxa"/>
            <w:vAlign w:val="center"/>
          </w:tcPr>
          <w:p>
            <w:pPr>
              <w:adjustRightInd w:val="0"/>
              <w:snapToGrid w:val="0"/>
              <w:spacing w:line="360" w:lineRule="auto"/>
              <w:jc w:val="center"/>
              <w:rPr>
                <w:rFonts w:hint="eastAsia" w:ascii="宋体" w:hAnsi="宋体" w:cs="宋体"/>
                <w:sz w:val="24"/>
                <w:szCs w:val="24"/>
                <w:lang w:val="en-US" w:eastAsia="zh-CN"/>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22</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三联水嘴</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cs="宋体"/>
                <w:sz w:val="24"/>
                <w:szCs w:val="24"/>
                <w:lang w:eastAsia="zh-CN"/>
              </w:rPr>
            </w:pPr>
            <w:r>
              <w:rPr>
                <w:rFonts w:hint="eastAsia" w:ascii="宋体" w:hAnsi="宋体" w:eastAsia="宋体" w:cs="宋体"/>
                <w:i w:val="0"/>
                <w:iCs w:val="0"/>
                <w:color w:val="000000"/>
                <w:kern w:val="0"/>
                <w:sz w:val="21"/>
                <w:szCs w:val="21"/>
                <w:u w:val="none"/>
                <w:lang w:val="en-US" w:eastAsia="zh-CN" w:bidi="ar"/>
              </w:rPr>
              <w:t>套</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23</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教师总控电源</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24</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实验光源</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6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25</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洗眼器</w:t>
            </w:r>
          </w:p>
        </w:tc>
        <w:tc>
          <w:tcPr>
            <w:tcW w:w="2100" w:type="dxa"/>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sz w:val="21"/>
                <w:szCs w:val="21"/>
                <w:vertAlign w:val="baseline"/>
                <w:lang w:val="en-US" w:eastAsia="zh-CN"/>
              </w:rPr>
              <w:t>套</w:t>
            </w:r>
          </w:p>
        </w:tc>
        <w:tc>
          <w:tcPr>
            <w:tcW w:w="1165" w:type="dxa"/>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26</w:t>
            </w:r>
          </w:p>
        </w:tc>
        <w:tc>
          <w:tcPr>
            <w:tcW w:w="4667" w:type="dxa"/>
            <w:vAlign w:val="center"/>
          </w:tcPr>
          <w:p>
            <w:pPr>
              <w:adjustRightInd w:val="0"/>
              <w:snapToGrid w:val="0"/>
              <w:spacing w:line="36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sz w:val="21"/>
                <w:szCs w:val="21"/>
              </w:rPr>
              <w:t>单人升降课桌凳</w:t>
            </w:r>
          </w:p>
        </w:tc>
        <w:tc>
          <w:tcPr>
            <w:tcW w:w="21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27</w:t>
            </w:r>
          </w:p>
        </w:tc>
        <w:tc>
          <w:tcPr>
            <w:tcW w:w="4667" w:type="dxa"/>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color w:val="auto"/>
                <w:sz w:val="21"/>
                <w:szCs w:val="21"/>
                <w:vertAlign w:val="baseline"/>
                <w:lang w:val="en-US" w:eastAsia="zh-CN"/>
              </w:rPr>
              <w:t>6人餐桌凳</w:t>
            </w:r>
          </w:p>
        </w:tc>
        <w:tc>
          <w:tcPr>
            <w:tcW w:w="21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5" w:type="dxa"/>
            <w:vAlign w:val="center"/>
          </w:tcPr>
          <w:p>
            <w:pPr>
              <w:adjustRightInd w:val="0"/>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28</w:t>
            </w:r>
          </w:p>
        </w:tc>
        <w:tc>
          <w:tcPr>
            <w:tcW w:w="4667" w:type="dxa"/>
            <w:vAlign w:val="center"/>
          </w:tcPr>
          <w:p>
            <w:pPr>
              <w:adjustRightInd w:val="0"/>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学生双人床</w:t>
            </w:r>
          </w:p>
        </w:tc>
        <w:tc>
          <w:tcPr>
            <w:tcW w:w="21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11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500</w:t>
            </w:r>
          </w:p>
        </w:tc>
      </w:tr>
    </w:tbl>
    <w:p>
      <w:pPr>
        <w:spacing w:line="360" w:lineRule="auto"/>
        <w:jc w:val="left"/>
        <w:rPr>
          <w:rFonts w:hint="eastAsia"/>
          <w:sz w:val="32"/>
          <w:szCs w:val="32"/>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076"/>
        <w:gridCol w:w="4997"/>
        <w:gridCol w:w="69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序号</w:t>
            </w:r>
          </w:p>
        </w:tc>
        <w:tc>
          <w:tcPr>
            <w:tcW w:w="107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货物名称</w:t>
            </w:r>
          </w:p>
        </w:tc>
        <w:tc>
          <w:tcPr>
            <w:tcW w:w="499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技术参数</w:t>
            </w:r>
          </w:p>
        </w:tc>
        <w:tc>
          <w:tcPr>
            <w:tcW w:w="6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单位</w:t>
            </w:r>
          </w:p>
        </w:tc>
        <w:tc>
          <w:tcPr>
            <w:tcW w:w="72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一、班班通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lang w:val="en-US" w:eastAsia="zh-CN"/>
              </w:rPr>
              <w:t>智能交互平板（核心产品）</w:t>
            </w:r>
          </w:p>
        </w:tc>
        <w:tc>
          <w:tcPr>
            <w:tcW w:w="49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屏体硬件：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1.★UHD液晶屏体：A规屏，显示尺寸≥65英寸</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2.物理分辨率：3840×2160可无损播放4K片源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w:t>
            </w:r>
            <w:r>
              <w:rPr>
                <w:rFonts w:hint="eastAsia" w:ascii="宋体" w:hAnsi="宋体" w:eastAsia="宋体" w:cs="宋体"/>
                <w:kern w:val="0"/>
                <w:sz w:val="21"/>
                <w:szCs w:val="21"/>
              </w:rPr>
              <w:t>▲</w:t>
            </w:r>
            <w:r>
              <w:rPr>
                <w:rFonts w:hint="eastAsia" w:ascii="宋体" w:hAnsi="宋体" w:eastAsia="宋体" w:cs="宋体"/>
                <w:b w:val="0"/>
                <w:bCs w:val="0"/>
                <w:color w:val="auto"/>
                <w:sz w:val="21"/>
                <w:szCs w:val="21"/>
                <w:lang w:bidi="ar"/>
              </w:rPr>
              <w:t>交互平板表面玻璃采用高强度钢化玻璃，硬度不低于莫氏7级。（须提供CMA或CNAS认证检测机构出具的检测报告并加盖厂家公章）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 xml:space="preserve">4.红外触控技术，在双系统下均支持不少于20点触控；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 xml:space="preserve">5.前置接口采用隐藏式内嵌结构，具有翻转式防护盖板，保证使用安全的同时，也可防止前置接口粉尘进入，避免造成损坏；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6.为便于用户操作交互平板，至少具备8个前置物理按键，至少6个按键都可实现两种或以上常用功能；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7.</w:t>
            </w:r>
            <w:r>
              <w:rPr>
                <w:rFonts w:hint="eastAsia" w:ascii="宋体" w:hAnsi="宋体" w:eastAsia="宋体" w:cs="宋体"/>
                <w:kern w:val="0"/>
                <w:sz w:val="21"/>
                <w:szCs w:val="21"/>
              </w:rPr>
              <w:t>▲</w:t>
            </w:r>
            <w:r>
              <w:rPr>
                <w:rFonts w:hint="eastAsia" w:ascii="宋体" w:hAnsi="宋体" w:eastAsia="宋体" w:cs="宋体"/>
                <w:b w:val="0"/>
                <w:bCs w:val="0"/>
                <w:color w:val="auto"/>
                <w:sz w:val="21"/>
                <w:szCs w:val="21"/>
                <w:lang w:bidi="ar"/>
              </w:rPr>
              <w:t>交互平板整机须具备物理电脑还原按键，针孔式设计防止误操作，并具有中文标识便于识别；（须提供CMA或CNAS认证检测机构出具的检测报告并加盖厂家公章）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8.</w:t>
            </w:r>
            <w:r>
              <w:rPr>
                <w:rFonts w:hint="eastAsia" w:ascii="宋体" w:hAnsi="宋体" w:eastAsia="宋体" w:cs="宋体"/>
                <w:kern w:val="0"/>
                <w:sz w:val="21"/>
                <w:szCs w:val="21"/>
              </w:rPr>
              <w:t>▲</w:t>
            </w:r>
            <w:r>
              <w:rPr>
                <w:rFonts w:hint="eastAsia" w:ascii="宋体" w:hAnsi="宋体" w:eastAsia="宋体" w:cs="宋体"/>
                <w:b w:val="0"/>
                <w:bCs w:val="0"/>
                <w:color w:val="auto"/>
                <w:sz w:val="21"/>
                <w:szCs w:val="21"/>
                <w:lang w:bidi="ar"/>
              </w:rPr>
              <w:t>为方便用户售后维修，前置接口面板及前置按键面板均具备前拆结构（须提供CMA或CNAS认证检测机构出具的检测报告并加盖厂家公章）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9.为充分满足用户实际使用需求，前置面板需具有以下输入接口：≥2路双通道USB3.0接口，≥1路标准非转接HDMI接口，≥1路USB Type-C接口。</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10.交互平板具有物理开机防蓝光功能，不接受通过菜单或按键设置方式进行防蓝光模式与非防蓝光模式的切换，并可通过扫描交互平板前置二维码即可获取产品防蓝光检测证书；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11.交互平板具有便捷通屏笔槽结构，可便于用户存放粉笔、电子教鞭等教学工具；</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12.</w:t>
            </w:r>
            <w:r>
              <w:rPr>
                <w:rFonts w:hint="eastAsia" w:ascii="宋体" w:hAnsi="宋体" w:eastAsia="宋体" w:cs="宋体"/>
                <w:kern w:val="0"/>
                <w:sz w:val="21"/>
                <w:szCs w:val="21"/>
              </w:rPr>
              <w:t>▲</w:t>
            </w:r>
            <w:r>
              <w:rPr>
                <w:rFonts w:hint="eastAsia" w:ascii="宋体" w:hAnsi="宋体" w:eastAsia="宋体" w:cs="宋体"/>
                <w:b w:val="0"/>
                <w:bCs w:val="0"/>
                <w:color w:val="auto"/>
                <w:sz w:val="21"/>
                <w:szCs w:val="21"/>
                <w:lang w:bidi="ar"/>
              </w:rPr>
              <w:t>整机前面板具有标识的天线模块，包含2.4G、5G双频Wifi及蓝牙接发装置，Android与Windows均可无线上网。（须提供CMA或CNAS认证检测机构出具的检测报告并加盖厂家公章）。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教学辅助系统：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13.</w:t>
            </w:r>
            <w:r>
              <w:rPr>
                <w:rFonts w:hint="eastAsia" w:ascii="宋体" w:hAnsi="宋体" w:eastAsia="宋体" w:cs="宋体"/>
                <w:kern w:val="0"/>
                <w:sz w:val="21"/>
                <w:szCs w:val="21"/>
              </w:rPr>
              <w:t>▲</w:t>
            </w:r>
            <w:r>
              <w:rPr>
                <w:rFonts w:hint="eastAsia" w:ascii="宋体" w:hAnsi="宋体" w:eastAsia="宋体" w:cs="宋体"/>
                <w:b w:val="0"/>
                <w:bCs w:val="0"/>
                <w:color w:val="auto"/>
                <w:sz w:val="21"/>
                <w:szCs w:val="21"/>
                <w:lang w:bidi="ar"/>
              </w:rPr>
              <w:t>内置安卓教学辅助系统，采用四核CPU， ROM不小于8G（支持扩展64G）, RAM不小于2G, 安卓系统版本不低于11.0；（须提供CMA或CNAS认证检测机构出具的检测报告并加盖厂家公章）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14.无需借助PC，整机可一键进行硬件自检，包括对系统内存、存储、触控系统、光感系统、内置电脑、屏体信息、主板型号、CPU型号、CPU使用率、设备名称等进行状态提示、及故障提示。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15.通过五指抓取屏幕任意位置可调出多任务处理窗口，并对正在运行的应用进行浏览、快速切换或结束进程;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16.在任意系统下均可通过手势操作调用及隐藏悬浮菜单，悬浮菜单可自定义分组添加如系统检测、温度计、浏览器等不少于35个应用。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17.为满足教学过程中多场景应用需求，交互平板可通过三指长按屏幕实现息屏及屏幕唤醒功能，可根据实际教学应用开启或关闭此功能；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18.智能交互平板双侧快捷键可根据实际使用需求设置为单侧或双侧显示，可设置自动隐藏时间；其中包含一个自定义功能键。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19.为满足教学场景使用需求，支持不少于3种方式进行屏幕下移，屏幕下移后仍可进行触控、书写等操作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20.在任意通道下可手势调取快捷设置，在不切换系统的情况下可对Android与windows的声音、亮度、信号源切换、网络等进行调节；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21.交互平板标配书写笔具备不同直径笔头，无需切换菜单，可智能识别粗细笔迹，方便教师板书及批注重点；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白板教学系统：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1、支持三种登录方式；账号密码直接登录，手机验证码快捷登录、微信扫码登录；还支持免登录打开本地课件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可根据自身使用需求对已经创建好的课件进行修改或删除，删除后的课件可自行存放到回收站，默认情况下保存30天，30天后可自动清除，已经删除后的课件，可进行恢复或清除；回收站内的课件支持单个课件，或者全部课件一键清除</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3、老师个人账号无需完成特定任务，即可获取不少于 200G 云端存储空间，最高可扩展不少于2TB云存储空间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4、提供模块化的高质量课件素材和教案，学科涵盖小学语文、初中语文、小学数学、初中数学、高中数学、小学英语、初中英语、小学科学、初中物理、初中化学等学科。课件支持组选：课堂导入，知识讲解，例题与变式，拓展延伸，课外活动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5、可自定义创建交互式动态课件，提供相应的教学画板工具。通过拖动或输入的方式改变对象的参数数值，相应的图像和函数随数值的变化而发生变化。调节缩放坐标轴，图像生成后可重新编辑。画板工具支持通过指令快速绘制平面图形、立体图形和函数图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6、支持绘制任意平面图形、任意几何图形、任意3D动态课件等，并可将绘制的函数图像一键导出为图片，插入课件中</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7、插入表格，表格支持设置行列数，在表格上可以进行行列的添加、删除、合并和拆分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8、可将自己的课件发布到校本空间，同校的老师都能在校本空间中查看和保存该课件；支持移动端、电脑端播放和保存校本空间里的课件；校本空间里的课件会随着老师课件的更新实时同步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9、支持课堂评价以勋章的形式，始终悬浮在页面右下角。支持对全班、单个或多个学生进行评价，评价结果可撤回。</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10、老师可通过移动端、PC端及网页端对学生进行行为评价打分，可显示班级得分前列的学生信息，界面、评价项、学生头像均采用卡通化方式，软件支持随机抽选学生进行评价。</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录课助手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1、桌面录制、桌面及摄像头录制、教室全场景录制三种录制方式于一体；在桌面及摄像头录制场景下，任意界面下均能自动侦测摄像头，可识别出展台摄像头，同时支持摄像头画面的切换、移动及大小的调整；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lang w:bidi="ar"/>
              </w:rPr>
            </w:pPr>
            <w:r>
              <w:rPr>
                <w:rFonts w:hint="eastAsia" w:ascii="宋体" w:hAnsi="宋体" w:eastAsia="宋体" w:cs="宋体"/>
                <w:b w:val="0"/>
                <w:bCs w:val="0"/>
                <w:color w:val="auto"/>
                <w:sz w:val="21"/>
                <w:szCs w:val="21"/>
                <w:lang w:bidi="ar"/>
              </w:rPr>
              <w:t>2、录制的视频本地自动存储，可上传至云端本支持云端管理，并实现删除、剪辑、添加知识点说明等，同时可进行分享，结束录制即生成回看视频，可快速浏览录制情况；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bidi="ar"/>
              </w:rPr>
              <w:t>3、扫码分享即可开通直播，支持手机端、pc 端观看，同时可进行课堂评论，极享视听体验；开通直播后生成直播海报、直播码，易于分享，多人观看无压力。</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bidi="ar"/>
              </w:rPr>
              <w:t>要求所投交互平板可无缝接入我局现有集中控制管理平台，平台中的所有功能对上述设备可实现完全管控。</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台</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液晶触摸一体机</w:t>
            </w:r>
          </w:p>
        </w:tc>
        <w:tc>
          <w:tcPr>
            <w:tcW w:w="4997" w:type="dxa"/>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一、基本配置：</w:t>
            </w:r>
          </w:p>
          <w:p>
            <w:pPr>
              <w:pStyle w:val="11"/>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vertAlign w:val="baseline"/>
              </w:rPr>
              <w:t>★</w:t>
            </w:r>
            <w:r>
              <w:rPr>
                <w:rFonts w:hint="eastAsia" w:ascii="宋体" w:hAnsi="宋体" w:eastAsia="宋体" w:cs="宋体"/>
                <w:b w:val="0"/>
                <w:bCs w:val="0"/>
                <w:sz w:val="21"/>
                <w:szCs w:val="21"/>
              </w:rPr>
              <w:t>LED液晶屏体：A规屏，显示尺寸≥</w:t>
            </w:r>
            <w:r>
              <w:rPr>
                <w:rFonts w:hint="eastAsia" w:ascii="宋体" w:hAnsi="宋体" w:eastAsia="宋体" w:cs="宋体"/>
                <w:b w:val="0"/>
                <w:bCs w:val="0"/>
                <w:sz w:val="21"/>
                <w:szCs w:val="21"/>
                <w:lang w:val="en-US" w:eastAsia="zh-CN"/>
              </w:rPr>
              <w:t>70</w:t>
            </w:r>
            <w:r>
              <w:rPr>
                <w:rFonts w:hint="eastAsia" w:ascii="宋体" w:hAnsi="宋体" w:eastAsia="宋体" w:cs="宋体"/>
                <w:b w:val="0"/>
                <w:bCs w:val="0"/>
                <w:sz w:val="21"/>
                <w:szCs w:val="21"/>
              </w:rPr>
              <w:t>英寸，显示比例16:9，物理分辨率：</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3840</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2160</w:t>
            </w:r>
            <w:r>
              <w:rPr>
                <w:rFonts w:hint="eastAsia" w:ascii="宋体" w:hAnsi="宋体" w:eastAsia="宋体" w:cs="宋体"/>
                <w:b w:val="0"/>
                <w:bCs w:val="0"/>
                <w:color w:val="auto"/>
                <w:sz w:val="21"/>
                <w:szCs w:val="21"/>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2、触摸技术：红外感应技术，支持</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0点触控</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在双系统下均</w:t>
            </w:r>
            <w:r>
              <w:rPr>
                <w:rFonts w:hint="eastAsia" w:ascii="宋体" w:hAnsi="宋体" w:eastAsia="宋体" w:cs="宋体"/>
                <w:b w:val="0"/>
                <w:bCs w:val="0"/>
                <w:sz w:val="21"/>
                <w:szCs w:val="21"/>
                <w:lang w:val="en-US" w:eastAsia="zh-CN"/>
              </w:rPr>
              <w:t>支持</w:t>
            </w:r>
            <w:r>
              <w:rPr>
                <w:rFonts w:hint="eastAsia" w:ascii="宋体" w:hAnsi="宋体" w:eastAsia="宋体" w:cs="宋体"/>
                <w:b w:val="0"/>
                <w:bCs w:val="0"/>
                <w:sz w:val="21"/>
                <w:szCs w:val="21"/>
              </w:rPr>
              <w:t>10笔</w:t>
            </w:r>
            <w:r>
              <w:rPr>
                <w:rFonts w:hint="eastAsia" w:ascii="宋体" w:hAnsi="宋体" w:eastAsia="宋体" w:cs="宋体"/>
                <w:b w:val="0"/>
                <w:bCs w:val="0"/>
                <w:sz w:val="21"/>
                <w:szCs w:val="21"/>
                <w:vertAlign w:val="baseline"/>
              </w:rPr>
              <w:t>或以上</w:t>
            </w:r>
            <w:r>
              <w:rPr>
                <w:rFonts w:hint="eastAsia" w:ascii="宋体" w:hAnsi="宋体" w:eastAsia="宋体" w:cs="宋体"/>
                <w:b w:val="0"/>
                <w:bCs w:val="0"/>
                <w:sz w:val="21"/>
                <w:szCs w:val="21"/>
              </w:rPr>
              <w:t>同时书写。</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3、</w:t>
            </w:r>
            <w:r>
              <w:rPr>
                <w:rFonts w:hint="eastAsia" w:ascii="宋体" w:hAnsi="宋体" w:eastAsia="宋体" w:cs="宋体"/>
                <w:b w:val="0"/>
                <w:bCs w:val="0"/>
                <w:color w:val="000000"/>
                <w:sz w:val="21"/>
                <w:szCs w:val="21"/>
              </w:rPr>
              <w:t>接口要求：输入接口：TV RF *1、HDMI*2、AV IN*1、YPbPr*1、VGA*1、TouchUSB*1、TV USB*1、RJ45*1、RS232*1、WIFI*1;输出接口：AV OUT*1、耳机*1、SPDIF *1。</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4、前置接口</w:t>
            </w:r>
            <w:r>
              <w:rPr>
                <w:rFonts w:hint="eastAsia" w:ascii="宋体" w:hAnsi="宋体" w:eastAsia="宋体" w:cs="宋体"/>
                <w:b w:val="0"/>
                <w:bCs w:val="0"/>
                <w:color w:val="000000"/>
                <w:sz w:val="21"/>
                <w:szCs w:val="21"/>
              </w:rPr>
              <w:t>：HDMI*1，Touch USB*1，TV USB*1，PC USB*2；TYPE-CUSB支持同时在Windows及Android系统下被读取。</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5、物理快捷健：提供屏幕两侧各不少于1</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个带中英文标识的物理快捷键，可通过触摸双边快捷键启用白板软件，方便使用。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6、</w:t>
            </w:r>
            <w:r>
              <w:rPr>
                <w:rFonts w:hint="eastAsia" w:ascii="宋体" w:hAnsi="宋体" w:eastAsia="宋体" w:cs="宋体"/>
                <w:b w:val="0"/>
                <w:bCs w:val="0"/>
                <w:color w:val="000000"/>
                <w:sz w:val="21"/>
                <w:szCs w:val="21"/>
              </w:rPr>
              <w:t>前置按键：前面板具有安卓、音量、频道、电源、菜单等功能物理按键，支持一键开机/关机。</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7、只需一根网线，即可满足windows和Android双系统的上网功能需求。</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FF0000"/>
                <w:sz w:val="21"/>
                <w:szCs w:val="21"/>
              </w:rPr>
            </w:pPr>
            <w:r>
              <w:rPr>
                <w:rFonts w:hint="eastAsia" w:ascii="宋体" w:hAnsi="宋体" w:eastAsia="宋体" w:cs="宋体"/>
                <w:b w:val="0"/>
                <w:bCs w:val="0"/>
                <w:sz w:val="21"/>
                <w:szCs w:val="21"/>
              </w:rPr>
              <w:t>8、</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sz w:val="21"/>
                <w:szCs w:val="21"/>
              </w:rPr>
              <w:t>屏幕校准定位： 支持三种以上定位方式。</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9、实现在安卓系统下可以批注、擦除、翻页、更改页面颜色、清空、保存文件等功能；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10、</w:t>
            </w:r>
            <w:r>
              <w:rPr>
                <w:rFonts w:hint="eastAsia" w:ascii="宋体" w:hAnsi="宋体" w:eastAsia="宋体" w:cs="宋体"/>
                <w:b w:val="0"/>
                <w:bCs w:val="0"/>
                <w:color w:val="000000"/>
                <w:sz w:val="21"/>
                <w:szCs w:val="21"/>
              </w:rPr>
              <w:t>无信号源自动关机：当外接电脑设备时，整机处于关机上电状态下，则接上外接电脑后自动开机；开机后，若检测不到信号源，设备将自动关机。</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w:t>
            </w:r>
            <w:r>
              <w:rPr>
                <w:rFonts w:hint="eastAsia" w:ascii="宋体" w:hAnsi="宋体" w:eastAsia="宋体" w:cs="宋体"/>
                <w:b w:val="0"/>
                <w:bCs w:val="0"/>
                <w:color w:val="auto"/>
                <w:sz w:val="21"/>
                <w:szCs w:val="21"/>
                <w:lang w:eastAsia="zh-CN"/>
              </w:rPr>
              <w:t>摄像头有效像素≥200 万；模块化设计，无缝拼接，与一体机完美融合，摄像头支持角度调整。</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二、</w:t>
            </w:r>
            <w:r>
              <w:rPr>
                <w:rFonts w:hint="eastAsia" w:ascii="宋体" w:hAnsi="宋体" w:eastAsia="宋体" w:cs="宋体"/>
                <w:b w:val="0"/>
                <w:bCs w:val="0"/>
                <w:sz w:val="21"/>
                <w:szCs w:val="21"/>
                <w:vertAlign w:val="baseline"/>
              </w:rPr>
              <w:t>教学软件和资源：</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1、一键切换，保留操作背景：可以一键切换书写和鼠标的两种状态，切换为书写状态时，保留用户原来操作的背景，不是新建一个页面</w:t>
            </w:r>
            <w:r>
              <w:rPr>
                <w:rFonts w:hint="eastAsia" w:ascii="宋体" w:hAnsi="宋体" w:eastAsia="宋体" w:cs="宋体"/>
                <w:b w:val="0"/>
                <w:bCs w:val="0"/>
                <w:sz w:val="21"/>
                <w:szCs w:val="21"/>
                <w:vertAlign w:val="baseline"/>
                <w:lang w:eastAsia="zh-CN"/>
              </w:rPr>
              <w:t>，</w:t>
            </w:r>
            <w:r>
              <w:rPr>
                <w:rFonts w:hint="eastAsia" w:ascii="宋体" w:hAnsi="宋体" w:eastAsia="宋体" w:cs="宋体"/>
                <w:b w:val="0"/>
                <w:bCs w:val="0"/>
                <w:sz w:val="21"/>
                <w:szCs w:val="21"/>
                <w:vertAlign w:val="baseline"/>
              </w:rPr>
              <w:t>教师可快速对当前页面进行批注。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2、边写边擦：在白板软件页面上，可同时用一只手书写，另一只手握拳擦除。</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书写标注功能：提供至少包括普通笔、工具笔、荧光笔、强调笔、毛笔、排笔、钢笔、纹理笔、竹笔在内10种笔，毛笔字的书写要求具有笔锋，工具笔除了可书写外，还可以实现探照灯、放大镜功能；强调笔闪烁后消失。</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手写识别及汉字教学功能：为方便教师展开汉字教学，教师可以在白板任意空白位置上（不需要老师事先拉出田字格等特殊背景）手写一个汉字，系统可以自动识别为正规文本。老师可以马上点击进入对该汉字进行学习，要求汉字学习具备偏旁部首说明、多音字拼读、笔顺描述和组词功能，并具备汉字的描红功能，要求软件可以模拟汉字的真实描红，能根据用户书写笔顺是否正确显示或不显示描红笔划。汉字教学提供按拼音首字母归类，例如屏幕上显示该字母下100或以上汉字，任意选取一个汉字可实现上述汉字学习功能，并支持关键字搜索。</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5、隐藏对象功能：选中一个白板软件页面上的对象，可以设置为隐藏模式，通过刮开的方式呈现隐藏的对象，也可以设置为图标形式，点击可呈现隐藏的对象, 增加课堂趣味性。</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课件背景设置：提供常用白、绿、黑颜色背景、提供至少15种常用作业本背景模板，包括：田字拼音、汉语拼音、拼音写字、单行簿、双行簿、课文簿、作文簿、数学簿、数字簿、小、中大方格、田字格、英文、五线谱等教学背景；并支持自定义背景颜色、背景图片，可设置背景图片放置方式，包括平铺、拉伸、居中等方式，可设置默认页面背景，之后新增的页面都为默认页面背景，自定义的背景图片设为默认背景可保存在白板软件里，方便调用，适用于各种教学场景。</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调用教学应用：软件提供的教学应用应至少包括：学科工具、资源、实验、题库、思维导图、课堂游戏、VR全景及其他可自定义嵌入的应用。每种教学应用都提供文字和图标标识，通过标签页面和主页图标均可切换不同种类教学应用。提供右键把应用插入到白板软件的功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配套试题工具：配套试题工具，可按年份、地区和题型的结构树形式归类展开试题，可以打开查看、编辑试题内容和试题答案，可以新增和批量导入试题；提供过往2年全国各地高考、主要城市中考试题和答案；并配有小学课后练习题库；配套试题工具有统计和查询功能：系统提供12种组合条件用于统计和查询，统计和查询结果可以导出和打印；可以查看各题型题目的分布情况，各类型题目数量和所占比例，支持用饼图方式呈现题型分布情况；配套试题工具提供组卷功能：教师可以使用配套的组卷功能生成试卷供学生练习和考核，生成的试卷，可以进行试题替换、重新组卷、生成AB卷或平行卷相关功能，还可以设置试题排序、卷头编辑功能。组卷后可以导出试卷（含答案或不含答案）或只导出答案，组卷后也可存入试卷库中。</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9、</w:t>
            </w:r>
            <w:r>
              <w:rPr>
                <w:rFonts w:hint="eastAsia" w:ascii="宋体" w:hAnsi="宋体" w:eastAsia="宋体" w:cs="宋体"/>
                <w:b w:val="0"/>
                <w:bCs w:val="0"/>
                <w:sz w:val="21"/>
                <w:szCs w:val="21"/>
                <w:vertAlign w:val="baseline"/>
              </w:rPr>
              <w:t>绘图智能识别和角度编辑功能：要求软件具备绘图智能识别和角度编辑功能：①.在屏幕上任意手工绘制一个圆或多边形，软件能自动识别成规则图形，例如不规范的圆会变为规范的圆或椭圆；②.对上述识别的多边形可进行顶点拉伸，角度值跟随拉伸过程实时标注和变化；③.对该多边形可回放观察顶点的完整拉伸变化过程，方便学生观察图形变化。</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0、</w:t>
            </w:r>
            <w:r>
              <w:rPr>
                <w:rFonts w:hint="eastAsia" w:ascii="宋体" w:hAnsi="宋体" w:eastAsia="宋体" w:cs="宋体"/>
                <w:b w:val="0"/>
                <w:bCs w:val="0"/>
                <w:sz w:val="21"/>
                <w:szCs w:val="21"/>
                <w:vertAlign w:val="baseline"/>
              </w:rPr>
              <w:t>对象回放功能：在白板软件页面上，创建至少2个以上的可见对象，任意选择其中一个对象，对该对象进行移动、拉伸等操作，可自定义回放该对象在某个时间段的运动轨迹，回放中不会出现其他对象，方便突出教学重点或进行教学对比。</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1、</w:t>
            </w:r>
            <w:r>
              <w:rPr>
                <w:rFonts w:hint="eastAsia" w:ascii="宋体" w:hAnsi="宋体" w:eastAsia="宋体" w:cs="宋体"/>
                <w:b w:val="0"/>
                <w:bCs w:val="0"/>
                <w:sz w:val="21"/>
                <w:szCs w:val="21"/>
                <w:vertAlign w:val="baseline"/>
              </w:rPr>
              <w:t>二维码分享：白板软件里每一页上都提供分享页面的二维码，手机移动设备在不需要接入局域网的情况下就可通过扫描白板软件页面上的二维码，下载当前课件的所有页面到移动设备上。实现课件分享和学习。</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2、</w:t>
            </w:r>
            <w:r>
              <w:rPr>
                <w:rFonts w:hint="eastAsia" w:ascii="宋体" w:hAnsi="宋体" w:eastAsia="宋体" w:cs="宋体"/>
                <w:b w:val="0"/>
                <w:bCs w:val="0"/>
                <w:sz w:val="21"/>
                <w:szCs w:val="21"/>
                <w:vertAlign w:val="baseline"/>
              </w:rPr>
              <w:t>教学辅助工具：至少有70种</w:t>
            </w:r>
            <w:r>
              <w:rPr>
                <w:rFonts w:hint="eastAsia" w:ascii="宋体" w:hAnsi="宋体" w:eastAsia="宋体" w:cs="宋体"/>
                <w:b w:val="0"/>
                <w:bCs w:val="0"/>
                <w:sz w:val="21"/>
                <w:szCs w:val="21"/>
                <w:vertAlign w:val="baseline"/>
                <w:lang w:eastAsia="zh-CN"/>
              </w:rPr>
              <w:t>或</w:t>
            </w:r>
            <w:r>
              <w:rPr>
                <w:rFonts w:hint="eastAsia" w:ascii="宋体" w:hAnsi="宋体" w:eastAsia="宋体" w:cs="宋体"/>
                <w:b w:val="0"/>
                <w:bCs w:val="0"/>
                <w:sz w:val="21"/>
                <w:szCs w:val="21"/>
                <w:vertAlign w:val="baseline"/>
              </w:rPr>
              <w:t>以上的教学展示辅助工具，并提供工具名称清单列表。常用工具：包括屏幕幕布、浏览器、软键盘、计时器、探照灯、屏幕截图、屏幕录制、放大镜、手写输入、摄像头/展台、计算器、图片工具、魔术贴纸、VR全景图、转盘、屏幕锁定、三角板（双游标）、直尺（双游标）、量角器（双游标）、圆规。通用类辅助工具：包括国旗与首都、动物、名著、柱状图、条形图、饼图、万年历、历史大事件、交通规则。</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3、</w:t>
            </w:r>
            <w:r>
              <w:rPr>
                <w:rFonts w:hint="eastAsia" w:ascii="宋体" w:hAnsi="宋体" w:eastAsia="宋体" w:cs="宋体"/>
                <w:b w:val="0"/>
                <w:bCs w:val="0"/>
                <w:sz w:val="21"/>
                <w:szCs w:val="21"/>
                <w:vertAlign w:val="baseline"/>
              </w:rPr>
              <w:t>思维导图：可制作思维导图，提供编辑面板，可收起或展开，提供中英文，可切换编辑和禁用编辑状态，提供多种主题，按键有文字标识，容易理解。要求功能有：新增节点、删除节点、节点链接图片、缩放导图、自定义字体颜色和节点背景颜色、自定义思维导图背景图和节点背景图、可以收起和展开节点、可保存为图片或可再编辑文件，两种都可以插入到白板页面里，提供思维导图列表，点击可打开已有思维导图文件重新编辑，在白板页面上点击插入的思维导图，可再次编辑和查看，并可保存为课件。可打开文件所在的文件夹，方便取走文件。</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4、</w:t>
            </w:r>
            <w:r>
              <w:rPr>
                <w:rFonts w:hint="eastAsia" w:ascii="宋体" w:hAnsi="宋体" w:eastAsia="宋体" w:cs="宋体"/>
                <w:b w:val="0"/>
                <w:bCs w:val="0"/>
                <w:sz w:val="21"/>
                <w:szCs w:val="21"/>
                <w:vertAlign w:val="baseline"/>
              </w:rPr>
              <w:t>图片素材种类：软件提供包括学科符号等各类型图片5000幅以上，学科和种类包括英语、数学、化学、物理、地理、生物、美术、音乐、科学、地图、标志、国旗、自然、植物、职业、宗教、科学、季节、运动、符号、科技、工具、运输、旅行等40种以上教学过程会用到的常用素材图片；图片的格式包括jpg、png、bmp、gif。</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15、</w:t>
            </w:r>
            <w:r>
              <w:rPr>
                <w:rFonts w:hint="eastAsia" w:ascii="宋体" w:hAnsi="宋体" w:eastAsia="宋体" w:cs="宋体"/>
                <w:b w:val="0"/>
                <w:bCs w:val="0"/>
                <w:sz w:val="21"/>
                <w:szCs w:val="21"/>
                <w:vertAlign w:val="baseline"/>
              </w:rPr>
              <w:t>图片素材功能：拖动素材库中的图片可以直接插入到白板软件页面中，也支持多选图片批量插入白板软件页面中，可以逐一或批量删除图片，可以通过拖动图片白板软件页面或文件夹、桌面的图片进去素材库，可把图片添加到素材库中。素材库中的图片可以进行放大缩小。可以直接选择电脑里面的图片。</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lang w:val="en-US" w:eastAsia="zh-CN"/>
              </w:rPr>
              <w:t>6、</w:t>
            </w:r>
            <w:r>
              <w:rPr>
                <w:rFonts w:hint="eastAsia" w:ascii="宋体" w:hAnsi="宋体" w:eastAsia="宋体" w:cs="宋体"/>
                <w:b w:val="0"/>
                <w:bCs w:val="0"/>
                <w:sz w:val="21"/>
                <w:szCs w:val="21"/>
                <w:vertAlign w:val="baseline"/>
              </w:rPr>
              <w:t>配套试题工具：配套试题工具，可按年份、地区和题型的结构树形式归类展开试题，可以打开查看、编辑试题内容和试题答案，可以新增和批量导入试题；提供过往2年全国各地高考、主要城市中考试题和答案；并配有小学课后练习题库；配套试题工具有统计和查询功能：系统提供12种组合条件用于统计和查询，统计和查询结果可以导出和打印；可以查看各题型题目的分布情况，各类型题目数量和所占比例，支持用饼图方式呈现题型分布情况；配套试题工具提供组卷功能：教师可以使用配套的组卷功能生成试卷供学生练习和考核，生成的试卷，可以进行试题替换、重新组卷、生成AB卷或平行卷相关功能，还可以设置试题排序、卷头编辑功能。组卷后可以导出试卷（含答案或不含答案）或只导出答案，组卷后也可存入试卷库中。</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17、</w:t>
            </w:r>
            <w:r>
              <w:rPr>
                <w:rFonts w:hint="eastAsia" w:ascii="宋体" w:hAnsi="宋体" w:eastAsia="宋体" w:cs="宋体"/>
                <w:b w:val="0"/>
                <w:bCs w:val="0"/>
                <w:sz w:val="21"/>
                <w:szCs w:val="21"/>
                <w:vertAlign w:val="baseline"/>
              </w:rPr>
              <w:t>部编版配套资源：为配合教学同步使用，白板软件配套的小学、中学资源都提供了部编版的内容，其中含有部编版资源的科目有：小学语文（要求1-3年级全部）,小学英语，小学数学，初中语文，初中英语，初中历史、高中化学等至少10科以上提供了部编版的内容，资源类型包括：生字描红、教学图片、教学视音频、动画课件等。要求现场演示小学语文三年级上册“金色的草地”或初中语文七年级上“秋天的怀念”的教学视频、生字描红、教学图片等内容。或高中化学的教学视频、教学图片等内容。</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18</w:t>
            </w:r>
            <w:r>
              <w:rPr>
                <w:rFonts w:hint="eastAsia" w:ascii="宋体" w:hAnsi="宋体" w:eastAsia="宋体" w:cs="宋体"/>
                <w:b w:val="0"/>
                <w:bCs w:val="0"/>
                <w:sz w:val="21"/>
                <w:szCs w:val="21"/>
                <w:vertAlign w:val="baseline"/>
              </w:rPr>
              <w:t>、配套实验软件：提供仿真实验软件，能通过白板软件直接调用，实验包括高中物理、高中化学、高中生物、初中物理、初中化学、初中生物、小学科学、幼儿科学、卡诺图、数字逻辑、几何软件等高中、初中、小学和幼儿仿真实验。仿真实验软件里共计有600个</w:t>
            </w:r>
            <w:r>
              <w:rPr>
                <w:rFonts w:hint="eastAsia" w:ascii="宋体" w:hAnsi="宋体" w:eastAsia="宋体" w:cs="宋体"/>
                <w:b w:val="0"/>
                <w:bCs w:val="0"/>
                <w:sz w:val="21"/>
                <w:szCs w:val="21"/>
                <w:vertAlign w:val="baseline"/>
                <w:lang w:val="en-US" w:eastAsia="zh-CN"/>
              </w:rPr>
              <w:t>或</w:t>
            </w:r>
            <w:r>
              <w:rPr>
                <w:rFonts w:hint="eastAsia" w:ascii="宋体" w:hAnsi="宋体" w:eastAsia="宋体" w:cs="宋体"/>
                <w:b w:val="0"/>
                <w:bCs w:val="0"/>
                <w:sz w:val="21"/>
                <w:szCs w:val="21"/>
                <w:vertAlign w:val="baseline"/>
              </w:rPr>
              <w:t>以上的仿真实验。</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19</w:t>
            </w:r>
            <w:r>
              <w:rPr>
                <w:rFonts w:hint="eastAsia" w:ascii="宋体" w:hAnsi="宋体" w:eastAsia="宋体" w:cs="宋体"/>
                <w:b w:val="0"/>
                <w:bCs w:val="0"/>
                <w:sz w:val="21"/>
                <w:szCs w:val="21"/>
                <w:vertAlign w:val="baseline"/>
              </w:rPr>
              <w:t>、配套教学资源：提供共20门科目的资源，能通过白板软件直接调用，20门科目分别是：初中语文、数学、英语、生物、化学、物理、地理、历史；高中语文、数学、生物、化学、物理、地理、历史；小学科学、数学、语文、英语；幼儿资源；幼儿资源包括：健康、语言、社会、科学、艺术共 5 类资源。</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lang w:val="en-US" w:eastAsia="zh-CN"/>
              </w:rPr>
              <w:t>20</w:t>
            </w:r>
            <w:r>
              <w:rPr>
                <w:rFonts w:hint="eastAsia" w:ascii="宋体" w:hAnsi="宋体" w:eastAsia="宋体" w:cs="宋体"/>
                <w:b w:val="0"/>
                <w:bCs w:val="0"/>
                <w:sz w:val="21"/>
                <w:szCs w:val="21"/>
                <w:vertAlign w:val="baseline"/>
              </w:rPr>
              <w:t>、软件网络资源：在白板软件里提供网上资源中心的链接，打开并登录网络教学资源网站，资源网站提供 JAVA 动态交互课件、Flash动画课件，另外提供图片、视频、课件等类别的多媒体资源，在平台首页智能统计和显示各类别的资源总数。资源网站提供7000个</w:t>
            </w:r>
            <w:r>
              <w:rPr>
                <w:rFonts w:hint="eastAsia" w:ascii="宋体" w:hAnsi="宋体" w:eastAsia="宋体" w:cs="宋体"/>
                <w:b w:val="0"/>
                <w:bCs w:val="0"/>
                <w:sz w:val="21"/>
                <w:szCs w:val="21"/>
                <w:vertAlign w:val="baseline"/>
                <w:lang w:val="en-US" w:eastAsia="zh-CN"/>
              </w:rPr>
              <w:t>或</w:t>
            </w:r>
            <w:r>
              <w:rPr>
                <w:rFonts w:hint="eastAsia" w:ascii="宋体" w:hAnsi="宋体" w:eastAsia="宋体" w:cs="宋体"/>
                <w:b w:val="0"/>
                <w:bCs w:val="0"/>
                <w:sz w:val="21"/>
                <w:szCs w:val="21"/>
                <w:vertAlign w:val="baseline"/>
              </w:rPr>
              <w:t>以上的Java动态交互课件、12000个</w:t>
            </w:r>
            <w:r>
              <w:rPr>
                <w:rFonts w:hint="eastAsia" w:ascii="宋体" w:hAnsi="宋体" w:eastAsia="宋体" w:cs="宋体"/>
                <w:b w:val="0"/>
                <w:bCs w:val="0"/>
                <w:sz w:val="21"/>
                <w:szCs w:val="21"/>
                <w:vertAlign w:val="baseline"/>
                <w:lang w:val="en-US" w:eastAsia="zh-CN"/>
              </w:rPr>
              <w:t>或</w:t>
            </w:r>
            <w:r>
              <w:rPr>
                <w:rFonts w:hint="eastAsia" w:ascii="宋体" w:hAnsi="宋体" w:eastAsia="宋体" w:cs="宋体"/>
                <w:b w:val="0"/>
                <w:bCs w:val="0"/>
                <w:sz w:val="21"/>
                <w:szCs w:val="21"/>
                <w:vertAlign w:val="baseline"/>
              </w:rPr>
              <w:t>以上的Flash动画课件，共计资源总数达到144000个</w:t>
            </w:r>
            <w:r>
              <w:rPr>
                <w:rFonts w:hint="eastAsia" w:ascii="宋体" w:hAnsi="宋体" w:eastAsia="宋体" w:cs="宋体"/>
                <w:b w:val="0"/>
                <w:bCs w:val="0"/>
                <w:sz w:val="21"/>
                <w:szCs w:val="21"/>
                <w:vertAlign w:val="baseline"/>
                <w:lang w:val="en-US" w:eastAsia="zh-CN"/>
              </w:rPr>
              <w:t>或</w:t>
            </w:r>
            <w:r>
              <w:rPr>
                <w:rFonts w:hint="eastAsia" w:ascii="宋体" w:hAnsi="宋体" w:eastAsia="宋体" w:cs="宋体"/>
                <w:b w:val="0"/>
                <w:bCs w:val="0"/>
                <w:sz w:val="21"/>
                <w:szCs w:val="21"/>
                <w:vertAlign w:val="baseline"/>
              </w:rPr>
              <w:t>以上。提供包括元数据规范、人教版、北师大版、粤教版、苏教版、岳麓版、华师大版教材的资源。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lang w:eastAsia="zh-CN"/>
              </w:rPr>
              <w:t>三</w:t>
            </w:r>
            <w:r>
              <w:rPr>
                <w:rFonts w:hint="eastAsia" w:ascii="宋体" w:hAnsi="宋体" w:eastAsia="宋体" w:cs="宋体"/>
                <w:b w:val="0"/>
                <w:bCs w:val="0"/>
                <w:kern w:val="0"/>
                <w:sz w:val="21"/>
                <w:szCs w:val="21"/>
              </w:rPr>
              <w:t>、</w:t>
            </w:r>
            <w:r>
              <w:rPr>
                <w:rFonts w:hint="eastAsia" w:ascii="宋体" w:hAnsi="宋体" w:eastAsia="宋体" w:cs="宋体"/>
                <w:b w:val="0"/>
                <w:bCs w:val="0"/>
                <w:sz w:val="21"/>
                <w:szCs w:val="21"/>
              </w:rPr>
              <w:t>移动授课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1、PPT助手：把手机变成PPT翻页笔，支持PPT的播放、退出、翻页功能，且能锁定操作、屏幕常亮、触感震动反馈等，支持夜间模式。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2、个性化：可将手机变为移动展台，将手机中图片、现场拍摄照片一键上传至电脑，变为电脑桌面，通过透明批注工具对桌面进行批注、擦除。</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移动端、电脑文件双向互传功能：通过管理小程序能随时随地连接一体机电脑硬盘，找到想要的文件，支持从手机上传照片、视频、微信中收发的文件到电脑；一键上传文件，在电脑上，任意文件右键，即可一键把文件从PC上传发送到手机。（电脑到手机支持100M大小的文件，手机到电脑支持20M大小的文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4、云书签功能：书签库内包含工作、学习、软件、生活、图片、音乐、视频等常见网站，支持老师远程打开响应网站，无需在一体机上手动输入网址，提高教学效率。</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5、手机可变成智能笔，含PPT助手功能、调节一体机声音大小、上下音频切换、PC与移动端文件互传功能、云书签功能等，便于教师移动授课。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四</w:t>
            </w:r>
            <w:r>
              <w:rPr>
                <w:rFonts w:hint="eastAsia" w:ascii="宋体" w:hAnsi="宋体" w:eastAsia="宋体" w:cs="宋体"/>
                <w:b w:val="0"/>
                <w:bCs w:val="0"/>
                <w:color w:val="000000"/>
                <w:kern w:val="0"/>
                <w:sz w:val="21"/>
                <w:szCs w:val="21"/>
                <w:lang w:val="en-US" w:eastAsia="zh-CN" w:bidi="ar"/>
              </w:rPr>
              <w:t xml:space="preserve">、无线投屏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1.无线投屏支持 windows,mac,ios,android 平台登录使用；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2.PC 电脑端和移动端可以通过序列码互相投屏；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3.电脑端投屏，可以设置投屏端声音是投放系统声音或者是麦克风的外音；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4.黑板或设备端接收到移动端的投屏信号，可以通过工具栏精心操作，操作功能包含对移动端投屏的信号进行批注，截图和录制，工具栏支持横向和纵向排列；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5.设备 PC 端支持对投屏环境对检测，快速定位投屏异常问题，检测对参数至少包含分辨率，防火墙，端口等；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6.设备电脑投屏到手机端，手机可以通过模拟鼠标和触控板方式反向控制电脑；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7.投屏连接成功后，移动端可以开启小画板，功能支持书写，擦除，撤销，还原，分享，保存，画板支持增加多页绘画，并且支持以幻灯片方式播放讲解，支持手势换页，双指缩放画面功能；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8.投屏支持选配云投屏功能，不限于局域网投屏，可支持公网投屏，不受地域影响，异地投屏；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000000"/>
                <w:kern w:val="0"/>
                <w:sz w:val="21"/>
                <w:szCs w:val="21"/>
                <w:lang w:val="en-US" w:eastAsia="zh-CN" w:bidi="ar"/>
              </w:rPr>
              <w:t>9.移动端支持文档投屏功能，可以将手机端的文档投屏到设备端显示，格式包含：PPT，WORD，EXCEL，PDF，TXT 等。</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台</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rPr>
              <w:t>插拔式电脑模块</w:t>
            </w:r>
          </w:p>
        </w:tc>
        <w:tc>
          <w:tcPr>
            <w:tcW w:w="4997" w:type="dxa"/>
            <w:noWrap w:val="0"/>
            <w:vAlign w:val="center"/>
          </w:tcPr>
          <w:p>
            <w:pPr>
              <w:pStyle w:val="44"/>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采用80pin Intel通用标准接口,即插即用，易于维护；</w:t>
            </w:r>
          </w:p>
          <w:p>
            <w:pPr>
              <w:pStyle w:val="44"/>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CPU采用Intel第9代</w:t>
            </w:r>
            <w:r>
              <w:rPr>
                <w:rFonts w:hint="eastAsia" w:ascii="宋体" w:hAnsi="宋体" w:eastAsia="宋体" w:cs="宋体"/>
                <w:b w:val="0"/>
                <w:bCs w:val="0"/>
                <w:kern w:val="0"/>
                <w:sz w:val="21"/>
                <w:szCs w:val="21"/>
                <w:lang w:eastAsia="zh-CN"/>
              </w:rPr>
              <w:t>或</w:t>
            </w:r>
            <w:r>
              <w:rPr>
                <w:rFonts w:hint="eastAsia" w:ascii="宋体" w:hAnsi="宋体" w:eastAsia="宋体" w:cs="宋体"/>
                <w:b w:val="0"/>
                <w:bCs w:val="0"/>
                <w:kern w:val="0"/>
                <w:sz w:val="21"/>
                <w:szCs w:val="21"/>
              </w:rPr>
              <w:t>以上平台处理器酷睿I5处理器；</w:t>
            </w:r>
          </w:p>
          <w:p>
            <w:pPr>
              <w:pStyle w:val="44"/>
              <w:keepNext w:val="0"/>
              <w:keepLines w:val="0"/>
              <w:pageBreakBefore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rPr>
              <w:t xml:space="preserve">内存：≥8G DDR4；硬盘：≥256G SSD固态硬盘；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4、</w:t>
            </w:r>
            <w:r>
              <w:rPr>
                <w:rFonts w:hint="eastAsia" w:ascii="宋体" w:hAnsi="宋体" w:eastAsia="宋体" w:cs="宋体"/>
                <w:b w:val="0"/>
                <w:bCs w:val="0"/>
                <w:kern w:val="0"/>
                <w:sz w:val="21"/>
                <w:szCs w:val="21"/>
              </w:rPr>
              <w:t>接口：整机非外扩展具备5个USB接口；具有独立非外扩展的视频输出接口：≥1路HDMI ；≥1路DP等；</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台</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rPr>
              <w:t>智能书写笔</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1.笔型设计，具有</w:t>
            </w:r>
            <w:r>
              <w:rPr>
                <w:rFonts w:hint="eastAsia" w:ascii="宋体" w:hAnsi="宋体" w:eastAsia="宋体" w:cs="宋体"/>
                <w:b w:val="0"/>
                <w:bCs w:val="0"/>
                <w:color w:val="auto"/>
                <w:sz w:val="21"/>
                <w:szCs w:val="21"/>
                <w:lang w:val="en-US" w:eastAsia="zh-CN"/>
              </w:rPr>
              <w:t>大于3</w:t>
            </w:r>
            <w:r>
              <w:rPr>
                <w:rFonts w:hint="eastAsia" w:ascii="宋体" w:hAnsi="宋体" w:eastAsia="宋体" w:cs="宋体"/>
                <w:b w:val="0"/>
                <w:bCs w:val="0"/>
                <w:color w:val="auto"/>
                <w:sz w:val="21"/>
                <w:szCs w:val="21"/>
              </w:rPr>
              <w:t>个</w:t>
            </w:r>
            <w:r>
              <w:rPr>
                <w:rFonts w:hint="eastAsia" w:ascii="宋体" w:hAnsi="宋体" w:eastAsia="宋体" w:cs="宋体"/>
                <w:b w:val="0"/>
                <w:bCs w:val="0"/>
                <w:color w:val="auto"/>
                <w:sz w:val="21"/>
                <w:szCs w:val="21"/>
                <w:lang w:val="en-US" w:eastAsia="zh-CN"/>
              </w:rPr>
              <w:t>常用功能</w:t>
            </w:r>
            <w:r>
              <w:rPr>
                <w:rFonts w:hint="eastAsia" w:ascii="宋体" w:hAnsi="宋体" w:eastAsia="宋体" w:cs="宋体"/>
                <w:b w:val="0"/>
                <w:bCs w:val="0"/>
                <w:color w:val="auto"/>
                <w:sz w:val="21"/>
                <w:szCs w:val="21"/>
              </w:rPr>
              <w:t>按键，外观为防滑材料；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2、蓝牙或无线连接技术；</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3、支持白板</w:t>
            </w:r>
            <w:r>
              <w:rPr>
                <w:rFonts w:hint="eastAsia" w:ascii="宋体" w:hAnsi="宋体" w:eastAsia="宋体" w:cs="宋体"/>
                <w:b w:val="0"/>
                <w:bCs w:val="0"/>
                <w:color w:val="auto"/>
                <w:sz w:val="21"/>
                <w:szCs w:val="21"/>
                <w:lang w:val="en-US" w:eastAsia="zh-CN"/>
              </w:rPr>
              <w:t>软件</w:t>
            </w:r>
            <w:r>
              <w:rPr>
                <w:rFonts w:hint="eastAsia" w:ascii="宋体" w:hAnsi="宋体" w:eastAsia="宋体" w:cs="宋体"/>
                <w:b w:val="0"/>
                <w:bCs w:val="0"/>
                <w:color w:val="auto"/>
                <w:sz w:val="21"/>
                <w:szCs w:val="21"/>
              </w:rPr>
              <w:t>、PPT、PDF、网页等多种格式的课件进行远程无线翻页。支持一键启动或退出 PPT 、白板软件播放；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4、提供自定义按键功能；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5、具有擦除按键，在白板软件中支持点擦除；</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6、笔书写功能智能识别，在白板软件下，系统可自动将任何使用动作识别为笔书写功能；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7、支持自动连接，</w:t>
            </w:r>
            <w:r>
              <w:rPr>
                <w:rFonts w:hint="eastAsia" w:ascii="宋体" w:hAnsi="宋体" w:eastAsia="宋体" w:cs="宋体"/>
                <w:b w:val="0"/>
                <w:bCs w:val="0"/>
                <w:color w:val="auto"/>
                <w:sz w:val="21"/>
                <w:szCs w:val="21"/>
                <w:lang w:eastAsia="zh-CN"/>
              </w:rPr>
              <w:t>书写笔</w:t>
            </w:r>
            <w:r>
              <w:rPr>
                <w:rFonts w:hint="eastAsia" w:ascii="宋体" w:hAnsi="宋体" w:eastAsia="宋体" w:cs="宋体"/>
                <w:b w:val="0"/>
                <w:bCs w:val="0"/>
                <w:color w:val="auto"/>
                <w:sz w:val="21"/>
                <w:szCs w:val="21"/>
              </w:rPr>
              <w:t>靠近设备时可自动识别并连接</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无需手动连接；</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支</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壁挂展台</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1、为保证托板表面平整性，托板采用单板结构，不接受托板表面折叠设计；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2、拍摄幅面不小于A4；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3、为保证教学过程中不受环境光和展示内容移动的影响，防止镜头频繁聚焦，图像模糊，产生眩晕感，要求采用不小于1300万像素定焦镜头；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4、光源： LED灯补光；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5、动态视频帧率：30帧/秒（1080P）；</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6、供电方式：USB供电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软件可通过不少于3种方式启动；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rPr>
              <w:t>实时教学内容展示，支持批注、缩放、旋转、保存分享、拍照、连拍等操作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9、</w:t>
            </w:r>
            <w:r>
              <w:rPr>
                <w:rFonts w:hint="eastAsia" w:ascii="宋体" w:hAnsi="宋体" w:eastAsia="宋体" w:cs="宋体"/>
                <w:b w:val="0"/>
                <w:bCs w:val="0"/>
                <w:color w:val="auto"/>
                <w:sz w:val="21"/>
                <w:szCs w:val="21"/>
              </w:rPr>
              <w:t>软件根据教学语言环境可设置中、英文切换。</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rPr>
              <w:t>支持展台画面实时批注，预设多种笔划粗细及颜色供选择，且支持对展台画面及批注内容进行同步缩放、移动；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11、</w:t>
            </w:r>
            <w:r>
              <w:rPr>
                <w:rFonts w:hint="eastAsia" w:ascii="宋体" w:hAnsi="宋体" w:eastAsia="宋体" w:cs="宋体"/>
                <w:b w:val="0"/>
                <w:bCs w:val="0"/>
                <w:color w:val="auto"/>
                <w:sz w:val="21"/>
                <w:szCs w:val="21"/>
              </w:rPr>
              <w:t>支持不少于三种裁切模式：无裁切、单图裁切、多图裁切，根据所选模式自动裁切图像，生成图片并支持导出；可对图像进行修正，缺角补边；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12、</w:t>
            </w:r>
            <w:r>
              <w:rPr>
                <w:rFonts w:hint="eastAsia" w:ascii="宋体" w:hAnsi="宋体" w:eastAsia="宋体" w:cs="宋体"/>
                <w:b w:val="0"/>
                <w:bCs w:val="0"/>
                <w:color w:val="auto"/>
                <w:sz w:val="21"/>
                <w:szCs w:val="21"/>
              </w:rPr>
              <w:t>同屏对比支持多图联动缩放和单图缩放两种模式，并支持六张图片同屏对比，可在任意区域内批注书写，不局限于显示区域内批注书写，并可对单张图片进行旋转、全屏、缩放、删除等操作；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13、</w:t>
            </w:r>
            <w:r>
              <w:rPr>
                <w:rFonts w:hint="eastAsia" w:ascii="宋体" w:hAnsi="宋体" w:eastAsia="宋体" w:cs="宋体"/>
                <w:b w:val="0"/>
                <w:bCs w:val="0"/>
                <w:color w:val="auto"/>
                <w:sz w:val="21"/>
                <w:szCs w:val="21"/>
              </w:rPr>
              <w:t>展台软件具有自检功能：硬件检测、解码器等；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14、</w:t>
            </w:r>
            <w:r>
              <w:rPr>
                <w:rFonts w:hint="eastAsia" w:ascii="宋体" w:hAnsi="宋体" w:eastAsia="宋体" w:cs="宋体"/>
                <w:b w:val="0"/>
                <w:bCs w:val="0"/>
                <w:color w:val="auto"/>
                <w:sz w:val="21"/>
                <w:szCs w:val="21"/>
              </w:rPr>
              <w:t>结合白板软件授课界面最少支持4副展示图片插入白板软件进行授课批注；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lang w:val="en-US" w:eastAsia="zh-CN"/>
              </w:rPr>
              <w:t>15、</w:t>
            </w:r>
            <w:r>
              <w:rPr>
                <w:rFonts w:hint="eastAsia" w:ascii="宋体" w:hAnsi="宋体" w:eastAsia="宋体" w:cs="宋体"/>
                <w:b w:val="0"/>
                <w:bCs w:val="0"/>
                <w:color w:val="auto"/>
                <w:sz w:val="21"/>
                <w:szCs w:val="21"/>
              </w:rPr>
              <w:t>具备二维码扫码功能，通过扫描二维码可识别二维码上的内容。</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台</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推拉绿板</w:t>
            </w:r>
          </w:p>
        </w:tc>
        <w:tc>
          <w:tcPr>
            <w:tcW w:w="49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1.结构：双层结构，内层为两块固定书写板左右各一块，中间预留放置电子产品空间，外层为两块滑动书写板，开闭自如确保一体机的安全管理，支持电子产品居中放置。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2.尺寸：长度≥4000mm，高度可根据所配电子产品适当调整，确保与电子产品的有效配套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3.内板：正面左右两侧无边框设计，上下边框正面高度不超8mm，最大限度的增大书写面。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4.板面：采用金属烤漆书写板面，亚光、墨绿色。</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5.边框：采用高强度香槟色电泳铝合金型材，性能符合GB 5237.3标准。轨道上置隐藏式滑动系统，杜绝灰尘及杂物进入，结构性解决滑动受灰尘影响的问题。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6.滑轮：双组高精度轴承上吊轮，下平滑动系统，上下均匀安装，滑动流畅、噪音小、前后定位精确，下滑轮采用弹片式结构，有效降低书写晃动。</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7</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kern w:val="2"/>
                <w:sz w:val="21"/>
                <w:szCs w:val="21"/>
                <w:lang w:val="en-US" w:eastAsia="zh-CN" w:bidi="ar"/>
              </w:rPr>
              <w:t>安全过滤软件</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1.产品可以纯软件交付，包含管理控制中心软件及终端客户端软件，其中管理控制中心可云化部署；</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2.支持跳转链接至云端安全威胁响应系统，针对已发生的病毒的基本信息，影响分析（客户情况、影响行业、区域分布）、威胁分析和处理建议；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3.基于勒索病毒攻击过程，建立多维度立体防护机制，提供事前入侵防御-事中反加密-事后检测响应的完整防护体系，展示勒索病毒处置情况，对勒索病毒及变种实现专门有效防御；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4.支持根据统计周期、终端名称、IP地址，补丁信息和漏洞等级等多维度的入侵检测日志，杀毒扫描日志，微隔离日志，合规检测日志，管理员操作日志，运维日志，联动日志等的日志查询和检测；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 xml:space="preserve">5.具备基于本地缓存信誉检测与全网信誉检测，构建企业全网信誉库的检测引擎，做到企业内网一台威胁，全网感知并进行针对性查杀，支持处置病毒时选择是否在其它终端上同步处置有效提升查杀效率，减少终端资源开销；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6.支持全网风险展示，包括但不限于未处理的勒索病毒数量、暴力破解数量、WebShell后门数量、高危漏洞及其各自影响的终端数量；</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7.支持安全策略一体化配置，通过单一策略即可实现不同安全功能的配置，包括：终端病毒查杀的文件扫描配置、文件实时监控的参数配置、WebShell检测和威胁处置方式、暴力破解的威胁处置方式和Windows白名单信任目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8.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0"/>
                <w:sz w:val="21"/>
                <w:szCs w:val="21"/>
                <w:lang w:val="en-US" w:eastAsia="zh-CN" w:bidi="ar"/>
              </w:rPr>
              <w:t>9.支持基于人工智能的安全智能检测引擎，能够有效检测多种类型的恶意软件，通过知名检测机构检测，并且误报率为0%，提供第三方检测报告加盖制造商公章；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0" w:firstLineChars="0"/>
              <w:jc w:val="both"/>
              <w:textAlignment w:val="auto"/>
              <w:rPr>
                <w:rFonts w:hint="eastAsia" w:ascii="宋体" w:hAnsi="宋体" w:eastAsia="宋体" w:cs="宋体"/>
                <w:b w:val="0"/>
                <w:bCs w:val="0"/>
                <w:color w:val="auto"/>
                <w:kern w:val="0"/>
                <w:sz w:val="21"/>
                <w:szCs w:val="21"/>
                <w:lang w:val="en-US"/>
              </w:rPr>
            </w:pPr>
            <w:r>
              <w:rPr>
                <w:rFonts w:hint="eastAsia" w:ascii="宋体" w:hAnsi="宋体" w:eastAsia="宋体" w:cs="宋体"/>
                <w:b w:val="0"/>
                <w:bCs w:val="0"/>
                <w:color w:val="auto"/>
                <w:kern w:val="0"/>
                <w:sz w:val="21"/>
                <w:szCs w:val="21"/>
                <w:lang w:val="en-US" w:eastAsia="zh-CN" w:bidi="ar"/>
              </w:rPr>
              <w:t>11.支持管理员在同厂商的上网行为管理平台界面下发一键隔离指令，对终端恶意文件进行隔离，防止病毒进一步扩散；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kern w:val="2"/>
                <w:sz w:val="21"/>
                <w:szCs w:val="21"/>
                <w:lang w:val="en-US" w:eastAsia="zh-CN" w:bidi="ar"/>
              </w:rPr>
              <w:t>12.为保证所投安全过滤软件厂家安全实力，所投产品生产厂家通过CSA-CMMI5云安全最高级别认证，需提供相关证明材料复印件加盖制造商公章；</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8</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kern w:val="2"/>
                <w:sz w:val="21"/>
                <w:szCs w:val="21"/>
                <w:lang w:val="en-US" w:eastAsia="zh-CN" w:bidi="ar"/>
              </w:rPr>
            </w:pPr>
            <w:r>
              <w:rPr>
                <w:rFonts w:hint="eastAsia" w:ascii="宋体" w:hAnsi="宋体" w:eastAsia="宋体" w:cs="宋体"/>
                <w:b w:val="0"/>
                <w:bCs w:val="0"/>
                <w:color w:val="auto"/>
                <w:kern w:val="2"/>
                <w:sz w:val="21"/>
                <w:szCs w:val="21"/>
                <w:lang w:val="en-US" w:eastAsia="zh-CN" w:bidi="ar"/>
              </w:rPr>
              <w:t>智慧黑板</w:t>
            </w:r>
          </w:p>
        </w:tc>
        <w:tc>
          <w:tcPr>
            <w:tcW w:w="4997" w:type="dxa"/>
            <w:noWrap w:val="0"/>
            <w:vAlign w:val="center"/>
          </w:tcPr>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一、整体要求：</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1、整机采用一体化设计，主屏与副板模型一致，拼缝小于1-2mm，可实现整块黑板统一屏幕书写，整机外观尺寸长度≥4220mm，高≥1180mm。</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2、★主屏采用电容触摸技术，≥86英寸液晶屏，≥4K分辨率，最大可支持20点触控，采用保护玻璃具备防眩光效果。</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3、前向音箱，内置强中低音箱体设计，功率≥2*15W，并支持液晶屏在黑屏状态下的单独听功能。有助于教师单独进行音频播放或听力考核。</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4、副屏书写板与主屏屏幕均采用无边框纯平面设计，不积灰，整体外观简洁大方一体化。</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5、★副屏书写板采用电容触摸技术，感应高度小于0.5毫米，可有效规避衣袖等外物造成的误操作现象，有效防止快速书写时识别的字迹出现连笔的情况。</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6、书写板基板采用4mm厚度钢化玻璃，硬度大于等于7H的材质；表面书写膜硬度大于等于2H，防止刮擦时受损，可有效增加摩擦力，提升书写体验感。光泽度15~25，能有效吸墨保证色泽饱满，同时能防止反射眩光。</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7、在书写过程中，书写板不擦滑，无尖锐刺耳噪音。书写、擦除时做到真正无粉尘，保护师生健康。可以实现板书局部擦除保存和板书全屏擦除保存的功能，擦除板书后内容已自动保存且无需老师额外操作。</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kern w:val="0"/>
                <w:sz w:val="21"/>
                <w:szCs w:val="21"/>
              </w:rPr>
              <w:t>▲</w:t>
            </w:r>
            <w:r>
              <w:rPr>
                <w:rFonts w:hint="eastAsia" w:ascii="宋体" w:hAnsi="宋体" w:eastAsia="宋体" w:cs="宋体"/>
                <w:sz w:val="21"/>
                <w:szCs w:val="21"/>
              </w:rPr>
              <w:t>配备智能板擦，支持同步擦除书写版面的笔迹和屏幕电子笔迹。书写、擦除无粉尘，保护师生健康，书写摩擦力小、流畅无噪音。（提供检测报告复印件证明）</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kern w:val="0"/>
                <w:sz w:val="21"/>
                <w:szCs w:val="21"/>
              </w:rPr>
              <w:t>▲</w:t>
            </w:r>
            <w:r>
              <w:rPr>
                <w:rFonts w:hint="eastAsia" w:ascii="宋体" w:hAnsi="宋体" w:eastAsia="宋体" w:cs="宋体"/>
                <w:sz w:val="21"/>
                <w:szCs w:val="21"/>
              </w:rPr>
              <w:t>自动保存：显示屏播放PPT/视频等其他操作时，软件可自动识别老师同步板书的笔迹并保存下载，无需额外操作。（提供检测报告复印件证明）</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10、为方便老师在任意环节进行控制和操作，整机支持三种或以上关闭背光节能方式：在任意通道下的五指手势息屏、物理按键一键息屏、手势遮挡息屏模式。并具有串口唤醒和网络唤醒的功能。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11、为适应不同身高操作人员的需求，在不采用任何物理升降结构的前提下，可实现在Windows系统中通过悬浮菜单下移屏幕功能，下移后不影响正常使用触摸，一键返回全屏，方便教师使用。且为保证系统兼容性和稳定性不支持第三方应用程序方式实现屏幕下移功能。不设置采用手势方式上下拉动等易造成误操作的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12、为方便教师使用，整机支持在任意通道下屏幕左右两侧快捷功能菜单、屏幕底部手势调取系统中控菜单和通过物理按键一键调取中控菜单功能，能快速一键调取白板软件和批注功能，并整合返回主页、多任务、信号源通道切换、亮度调节、声音调节等功能到同一工具栏菜单，且侧边快捷菜单及底部中控菜单均支持用户打开或关闭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13、具有悬浮菜单功能实现快速进入，并且能够随意拖动，支持三指跟随，方便老师使用。可在任意通道下打开悬浮菜单，菜单内容和项目可以根据老师需要自主添加和移除，可以实现包括内置windows/安卓双系统切换、白板软件、硬件自检、下移等快速进入的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14、整机机内温度监控功能，支持温度条根据温度范围显示不同警示颜色：整机温度45℃以下时，显示绿色；整机温度达到45℃～65℃时，显示橙色；整机温度达到65℃以上时，显示红色。当设备温度达到85℃以上时，为确保使用者和设备的安全将自动弹出预警关机倒计时提示，倒计时结束时将直接关机。</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15、整机具备智能护眼系统：系统可根据用户书写操作智能调节屏幕亮度，当老师书写时屏幕光线更加柔和护眼，保护视力，感应并自动调节屏幕亮度达到在不同光照环境下的最佳显示效果，此功能可设置开启或关闭。</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16、具有一键自检功能，整机不通过第三方应用程序即可对主板的硬件状态如触摸屏、光感模块OPS状态、网络状态等进行自检并上报；并支持对主板内存进行清理释放，保证系统运行流畅。</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17、整机支持一根网线即可实现安卓/WINDOUWS双系统同时上网功能，为保证网络速度及稳定性，不接受OPS连接安卓wifi热点或其他软件热点方式同时上网。</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18、整机支持2.4G/5G双频wifi热点，支持无线投屏，无需任何外部硬件设备既可支持 Android/IOS/windows移动端进行投屏，且wifi热点打开的同时支持黑板wifi连接外部网络，方便不同课堂教学场景选择。</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19、支持板载无线蓝牙功能，可连接蓝牙音箱耳机等设备，并支持移动设备向大屏端传输文件。</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20、为防止课间误触摸造成教学内容丢失或系统安全，设备支持童锁、应用锁、USB锁、PC触摸锁等多种安全锁定方式。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21、为方便老师操作，整机支持超过三种或以上开关机方式：电源键直接开关机，NFC非接触式感应刷卡开关机，遥控开关机模式。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lang w:eastAsia="zh-CN"/>
              </w:rPr>
            </w:pPr>
            <w:r>
              <w:rPr>
                <w:rFonts w:hint="eastAsia" w:ascii="宋体" w:hAnsi="宋体" w:eastAsia="宋体" w:cs="宋体"/>
                <w:sz w:val="21"/>
                <w:szCs w:val="21"/>
              </w:rPr>
              <w:t>二、</w:t>
            </w:r>
            <w:r>
              <w:rPr>
                <w:rFonts w:hint="eastAsia" w:ascii="宋体" w:hAnsi="宋体" w:eastAsia="宋体" w:cs="宋体"/>
                <w:sz w:val="21"/>
                <w:szCs w:val="21"/>
                <w:lang w:eastAsia="zh-CN"/>
              </w:rPr>
              <w:t>内置电脑模块</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1.插拔式OPS微型PC设计，采用Intel I5、8GB内存、256G固态硬盘；开放式可插接INTEL规范接口（OPS接口），双面合计80针。</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2.支持WIFI无线网络，带双天线，带RJ45接口100M/1000Mbs。</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3.具备电源（POWER）开关按键、RESET（重置）孔（选配）。</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.支持电源：AC input:100-240V/50-60HZ ；DC output:19V/5A。</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三</w:t>
            </w:r>
            <w:r>
              <w:rPr>
                <w:rFonts w:hint="eastAsia" w:ascii="宋体" w:hAnsi="宋体" w:eastAsia="宋体" w:cs="宋体"/>
                <w:sz w:val="21"/>
                <w:szCs w:val="21"/>
              </w:rPr>
              <w:t>、互联互通软件</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1、两侧书写板板书内容可同步到显示屏上，形成原笔迹电子化板书，且可生成文字笔记，实现二维码扫码带走，支持修改笔记标题，一键分享。</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2、整机两侧黑板区域支持磁性材料吸附，方便老师展示磁性教学素材；</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3、用户在副屏书写的笔迹通过云存储记忆保存并能通过微信扫码一键保存至手机随时复习回看或分享至班级群等。</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4、可以切换模式，支持板书同区域显示和异区域显示，支持副屏书写板在主屏显示区域全屏显示，满足课堂多维度教学场景需求。</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显示屏播放PPT或视频等其他操作时，老师在副屏书写板所书写的板书，同步在后台被软件识别保存，无需其他额外操作，打开白板界面即可看到板书的笔迹，也可设置书写时自动跳转到白板软件，直接看到老师板书内容，满足多种教学场景。</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提供的电子白板软件需最少支持三种操作模式：透明批注、PPT演示控制、全屏书写三种操作模式；透明页批注模式下可以实现对屏幕任意内容的批注,如PPT、文档、图片、视频等，可以保留批注痕迹，自动将页面和批注痕迹一键截图保存到白板软件当中。</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PPT标注：用软件可直接打开PPT进行播放,提供屏幕下方快捷键。实现PPT批注、擦除、翻页、插入音频等功能,且可将标注内容直接保存到PPT文件中并可以PPT批注过程中随时调用白板界面进行书写，实现PPT和白板软件之间的灵活切换。</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8、采用图形化、大图标的软件界面，且有中文标识，易于识别，分类清晰。软件菜单可隐藏以扩大全屏幕书写面。</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提供至少13种（包含语文、数学、英语、物理、化学、生物、政治、历史、地理、科学、音乐、美术、标准）等学科模式和教学背景模板供老师使用，满足不同教师教学需求。提供幕布、探照灯、字幕播报、锁定、屏幕录制、回放、书写漫游、放大镜、时钟、计算器、垃圾桶、页面编辑、截图、搜索引擎、思维轴、小黑板、等常用互动教学工具。</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8、提供不少于14种教学工具，包括元素周期表、四线三体、中文笔划、古诗词、拼音、直尺、等腰三角板、直角三角板、量角器、圆规、数学画板、物理虚拟实验室、化学虚拟实验室、生物虚拟实验室等。</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9、多屏书写：可同时设置2、3、4分屏及背景模版供老师与学生互动教学，多人可不同笔触颜色书写和擦除，互不影响。</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10、程序快捷方式：可在软件中自定义增加或删除电脑应用程序、文件，可直接从软件中打开外部程序或文件，无需在白板软件与电脑桌面中多次反复操作，避免增加老师操作负担。</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11、电子书功能：软件自带电子书制作工具（非独立软件），提供电子书课件模板，根据模板可简单快捷的制作出包含图片、声音和视频的有声读物课件；并可灵活设置文字声音内容，逐字逐句发音，控制播放内容。</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12、提供不低于10种以上的各种书写笔,且可在同一界面下完成不同粗细，不同色彩，线形的设置，提供调色盘颜色可自定义选择；提供不低于6种擦除方式，包括图形擦和清屏。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13、文本智能输入功能:支持文本框输入及全屏任意位置手写智能识别功能，在页面上任意位置将中文、英文或数学公式手写体智能识别为标准文本。</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14、智能图像识别：能将手绘的图形自动识别成标准图形，能至少识别横线、竖线、正圆、椭圆、矩形、三角形、四边形等多边形。</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15、文字翻译及发音功能: 内置英汉词典功能，可选中一段文字内容，在中英文之间翻译，并结合语音朗读功能，将其直接朗读出来，支持男女声发音。</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16、对象菜单：软件中任一内容均可实现剪切、克隆、复制、删除、图层更改、镜像、锁定、增加链接、组合、旋转、缩放、特效设置、对象保存等功能。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17、粘贴功能：可直接从外部复制文字、图片、视频等任意格式的素材和文件粘贴到软件中，且源文件删除后仍可打开。</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四</w:t>
            </w:r>
            <w:r>
              <w:rPr>
                <w:rFonts w:hint="eastAsia" w:ascii="宋体" w:hAnsi="宋体" w:eastAsia="宋体" w:cs="宋体"/>
                <w:sz w:val="21"/>
                <w:szCs w:val="21"/>
              </w:rPr>
              <w:t>、白板软件</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1.基于手势操作开发，简单易用，手指单点或使用触控笔就能一键快速调取教学软件及工具；</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2.备授课功能，具有备课模式及授课模式，且操作界面根据备课和授课使用场景不同而区别设计，包含数学、英语、化学等14个不同背景;</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3.支持一键调取PPT文件，可选择本地导入或网盘登陆两种不同形式获取课件，并支持对调取课件进行再次编辑，保存生成独立格式保护校本资源；</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支持备课模式下，对课件添加文本编辑、思维导图等功能，并支持对所添加内容编辑进入和退出方式，可选择百叶窗、淡入、缩放、浮现、飞入、旋转、劈裂、弹跳、淡出、浮出、弹跳、擦除等不同的编辑方式，支持对输入的文本添加朗读读音，读音支持导出音频文件并支持一键插入课件；</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支持汉字描红功能，将手写汉字文本快速识别成规则文本，可对汉字进行笔画逐步描红，支持拼音读写功能，将手写拼音文本快速识别成规则文本，可对拼音进行示范朗读，支持汉字注音功能，可将输入文本一键注-入拼音，并点击一键插入白板可自动添加至文本上方；</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6.支持笔的粗细和颜色选择，至少20挡粗细，6种常用备选颜色；</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7.印章笔，支持常用的图案印章，比如奖杯，笑脸，鼓励，小红花等图形，可用于互动教学；</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8.支持手势擦除功能，当识别到5指手势，画面自动由手写状态变成板擦状态，符合老师随写随擦的教学习惯，板擦大小至少有3级选择；</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9.支持清空笔迹和一键清屏功能，支持全屏幕漫游，支持撤销和恢复功能，协助老师在误操作删除板书后，快速找回板书；</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10.支持在备授课状态下均可插入辅助教学工具，如三角板，直尺，圆规，量角器。支持三角板，直尺自动绘制直线，无需手动更改，并且在旋转时显示旋转角度。支持量角器绘制后自动标注角度，切换绘制方式后可绘制弧线。支持圆规绘制扇形，弧线，可在圆规上显示角度和半径。</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五</w:t>
            </w:r>
            <w:r>
              <w:rPr>
                <w:rFonts w:hint="eastAsia" w:ascii="宋体" w:hAnsi="宋体" w:eastAsia="宋体" w:cs="宋体"/>
                <w:sz w:val="21"/>
                <w:szCs w:val="21"/>
              </w:rPr>
              <w:t>、移动授课</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kern w:val="0"/>
                <w:sz w:val="21"/>
                <w:szCs w:val="21"/>
              </w:rPr>
              <w:t>▲</w:t>
            </w:r>
            <w:r>
              <w:rPr>
                <w:rFonts w:hint="eastAsia" w:ascii="宋体" w:hAnsi="宋体" w:eastAsia="宋体" w:cs="宋体"/>
                <w:sz w:val="21"/>
                <w:szCs w:val="21"/>
              </w:rPr>
              <w:t>PPT助手：把手机变成PPT翻页笔，支持PPT的播放、退出、翻页功能，且能锁定操作、屏幕常亮、触感震动反馈等，支持夜间模式；（提供检测报告证明）</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3.个性化：可将手机变为移动展台，将手机中图片、现场拍摄照片一键上传至电脑，变为电脑桌面，通过透明批注工具对桌面进行批注、擦除。</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移动端、电脑文件双向互传功能：通过管理小程序能随时随地连接设备电脑硬盘，找到想要的文件，支持从手机上传照片、视频、微信中收发的文件到电脑；一键上传文件，在电脑上，任意文件右键，即可一键把文件从PC上传发送到手机。（电脑到手机支持100M大小的文件，手机到电脑支持20M大小的文件）</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5.云书签功能：书签库内包含工作、学习、软件、生活、图片、音乐、视频等常见网站，支持老师远程打开响应网站，无需在设备上手动输入网址，提高教学效率；</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6.手机可变成智能笔，含PPT助手功能、调节设备声音大小、上下音频切换、PC与移动端文件互传功能、云书签功能等，便于教师移动授课。</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六</w:t>
            </w:r>
            <w:r>
              <w:rPr>
                <w:rFonts w:hint="eastAsia" w:ascii="宋体" w:hAnsi="宋体" w:eastAsia="宋体" w:cs="宋体"/>
                <w:sz w:val="21"/>
                <w:szCs w:val="21"/>
              </w:rPr>
              <w:t>、微课工具</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1.快速录制屏幕，支持同时录制屏幕，麦克风声音以及摄像头人像画面；录制画面可以自定义区域，摄像头画面可设定3种模式大小；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2.微课录制完成后视频自动存储在云空间，支持复制链接一键分享，支持使用微信，QQ等工具扫二维码直接观看，观看过程可在视频时间轴添加表情互动评论；</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3.每个用户微课云空间支持至少10G存储，每个微课分享后可以统计观看人数，互动评价内容，客户端支持MACOS，windows，android，IOS平台。</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七</w:t>
            </w:r>
            <w:r>
              <w:rPr>
                <w:rFonts w:hint="eastAsia" w:ascii="宋体" w:hAnsi="宋体" w:eastAsia="宋体" w:cs="宋体"/>
                <w:sz w:val="21"/>
                <w:szCs w:val="21"/>
              </w:rPr>
              <w:t>、无线投屏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1.无线投屏支持windows,mac,ios,android平台登录使用；</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2.PC电脑端和移动端可以通过序列码互相投屏；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3.电脑端投屏，可以设置投屏端声音是投放系统声音或者是麦克风的外音；</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4.黑板或设备端接收到移动端的投屏信号，可以通过工具栏精心操作，操作功能包含对移动端投屏的信号进行批注，截图和录制，工具栏支持横向和纵向排列；</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5.设备PC端支持对投屏环境对检测，快速定位投屏异常问题，检测对参数至少包含分辨率，防火墙，端口等；</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6.设备电脑投屏到手机端，手机可以通过模拟鼠标和触控板方式反向控制电脑；</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7.投屏连接成功后，移动端可以开启小画板，功能支持书写，擦除，撤销，还原，分享，保存，画板支持增加多页绘画，并且支持以幻灯片方式播放讲解，支持手势换页，双指缩放画面功能；</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8.投屏支持选配云投屏功能，不限于局域网投屏，可支持公网投屏，不受地域影响，异地投屏；</w:t>
            </w:r>
          </w:p>
          <w:p>
            <w:pPr>
              <w:pStyle w:val="44"/>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9.移动端支持文档投屏功能，可以将手机端的文档投屏到设备端显示，格式包含：PPT，WORD，EXCEL，PDF，TXT等。</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9</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施工与辅助材料</w:t>
            </w:r>
          </w:p>
        </w:tc>
        <w:tc>
          <w:tcPr>
            <w:tcW w:w="499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辅材:电源线、线槽、水晶头、网线等且包含从项目学校城域网出口到班级的网络布线</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二、移动录播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无线录播主机</w:t>
            </w:r>
          </w:p>
        </w:tc>
        <w:tc>
          <w:tcPr>
            <w:tcW w:w="4997" w:type="dxa"/>
            <w:noWrap w:val="0"/>
            <w:vAlign w:val="top"/>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嵌入式架构，无线便携一体化结构设计，集成高清触控显示屏，双核处理器，Linux操作系统，稳定可靠，集无线传输、视音频编码、录制、存储、导播、直播、点播、管理等功能于一体，携带方便，可实现快速搭建，本机支持扩展跟踪，支持扩展互动功能；</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2.主机集成≥13寸IPS FHD A级高清液晶显示触控屏，集显示触控操作于一体；屏幕表面硬度：物理钢化玻璃≥6H；屏幕采用2mm厚的钢化玻璃，有效防止屏幕刮花；</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3.主机内置无线视频传输模块，支持数据无线视频接收功能；支持2路无线5G网络传输天线，工作频率5.15-5.85G Hz，无线传输信号在无阻挡、无干扰情况下室外传输距离不小于100米，最大数据速率可达100Mbps；</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4.采用先进的时分双工+WDS技术，抗干扰能力强，支持DFS（动态频率选择）。</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5.私有协议加密传输，点对点多负载均衡，保证无线网络视频传输稳定性，安全性高；</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6.</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lang w:eastAsia="zh-CN"/>
              </w:rPr>
              <w:t>主机内置4G无线模块，支持1路4G全网通功能，插入SIM卡即可实现上网，支持联通、电信，移动等运营商，使主机具备移动互联互通的能力；</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7.支持1路无线WiFi AP功能，支持 802.11b/g/n标准协议，可实现快速组建无线覆盖网络；</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8.</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lang w:eastAsia="zh-CN"/>
              </w:rPr>
              <w:t>内置大容量充电电池，支持5-8小时续航，具有充放电管理功能、支持过充过放保护，确保系统运行和录制数据的可靠性；</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9.内置音频矩阵，采用专业级音频DSP处理器，具备优异的音频采集降噪处理能力，支持线性、无线音频输入；内置AEC回声抑制，提供优质的音视频互动音效；</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10.采用H.264/H.265视频编码技术，支持CBR、VBR两种码流控制方式，输出码流10K-20Mbps可调，编码帧率1-60fps可调，支持分辨率：1080P60/30、1080i60/50、720P60/50；音频编码支持AAC编码，支持32/44.1/48KHZ采样频率，压缩码率可调；</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11.支持</w:t>
            </w:r>
            <w:r>
              <w:rPr>
                <w:rFonts w:hint="eastAsia" w:ascii="宋体" w:hAnsi="宋体" w:eastAsia="宋体" w:cs="宋体"/>
                <w:b w:val="0"/>
                <w:bCs w:val="0"/>
                <w:kern w:val="0"/>
                <w:sz w:val="21"/>
                <w:szCs w:val="21"/>
                <w:lang w:val="en-US" w:eastAsia="zh-CN"/>
              </w:rPr>
              <w:t>3</w:t>
            </w:r>
            <w:r>
              <w:rPr>
                <w:rFonts w:hint="eastAsia" w:ascii="宋体" w:hAnsi="宋体" w:eastAsia="宋体" w:cs="宋体"/>
                <w:b w:val="0"/>
                <w:bCs w:val="0"/>
                <w:kern w:val="0"/>
                <w:sz w:val="21"/>
                <w:szCs w:val="21"/>
                <w:lang w:eastAsia="zh-CN"/>
              </w:rPr>
              <w:t>路资源模式+1路电影模式实时录制，支持MP4、TS等标准流媒体文件录像格式,支持实时添加字幕、台标，支持添加片头片尾，支持支持淡入淡出、推拉覆盖、直切、画中画、画外画、全景等多种特效模式，支持画中画小画面4级调整；支持手动一键录制、定时录制、课表联动录制，支持课程信息实时录入，支持自动按课程信息命名，支持录像回卷、录像分段；</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12.内置资源管理系统，具有直播、上传、点播、资源检索浏览功能，具有非线编功能，实现音视频文件的截取、合并、添加台标字幕、添加背景音乐等功能；</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13.</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lang w:eastAsia="zh-CN"/>
              </w:rPr>
              <w:t>支持RTMP、HLS等网络直播，支持直接推送直播流到平台服务器，单机可支持不小于100路直播；</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14.端口描述：</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（1）天线接口：5G天线≥2、4G天线≥1、WiFi天线≥1；</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（2）视频输入接口：HDMI≥1；</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（3）视频输出接口：HDMI≥1；</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（4）音频输入接口：3.5mm立体声音频≥1、HDMI音频≥1、3.5mm无线MIC音频≥1；</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（5）音频输出接口：3.5mm立体声音频≥1、3.5mm立体声监听≥1、HDMI音频≥1；</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（6）通讯接口：10/100/1000M自适应RJ45≥1、USB2.0接口≥1、USB3.0接口≥3；</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15.</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lang w:eastAsia="zh-CN"/>
              </w:rPr>
              <w:t>支持HDMI输入信号的画面检测，支持全屏幕检测也支持手绘的自定义区域检测，最多支持5个自定义区域检测，可以有效避免杀毒软件、防护软件等屏幕弹出造成的误切换；</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16.支持实时查看设备运行状态、系统资源占用、运行日志等，支持在线升级维护，配置文件导入导出管理；</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17.可扩展互动能力，通过移动网络实现随时随地的远程音视频互动；</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eastAsia="zh-CN"/>
              </w:rPr>
              <w:t>18.提供录播主机3C证书。</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录播软件系统</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1.嵌入式系统架构设计，兼容IE、Chrome等通用浏览器，支持Chrome浏览器采用HTML5技术，无需安装任何插件，导播画面响应快，延时低；</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支持本地导播模式，为方便本地导播操作，系统内置虚拟软键盘，支持中英文输入及操作。录播主机接键盘鼠标即可实现本地导播控制，支持录播控制、直播控制、导播切换、特效合成、台标字幕、手动云镜控制、实时录制信息等常用功能；</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3.支持B/S架构导播，集视频导播监视、切换、音频调整、录制/直播、开始暂停结束等控制，特技效果、特效字幕、LOGO校徽、片头片尾设置，云台控制，跟踪设置，录制观看、直播监视等功能；</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4.内嵌自动导播算法，可实现全自动、半自动、手动导播模式切换，支持手动控制云台，变焦倍数调整、变焦步进调整，预置位设置及控制等，每一路摄像机可支持的预置位≥10个；</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5.支持淡入淡出、溶解、拉帘、擦除、覆盖主流等切换特效效果不少于11种，支持设置特效切换持续时间；</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6.支持画中画、双画面平铺、双画面叠画、多画面合成布局等，支持导播画面布局保存。支持画面组合中主副画面的实时交换。画中画特效选项，支持小画面位置选择、小画面4级大小调整；双画面平铺和双画面叠画特效选项，支持任意两画面手动组合，支持教师、学生、电脑画面任意两两一键组合并切换；灵活支持多种画面组合，一键实现三分屏、四分屏、N分屏实时组合并切换；</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7.支持在任一通道视频中实时插入本地录制的视频文件，可以选择插入起始点和结束点，可以选择循环插入，并作为一路正常信号源进行导播和录制。可以在插入视频结束后自动返回原有视频源；</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8.先进的电脑画面侦测算法，无需在教师授课电脑上安装任何程序能够探测到教师移动鼠标、PPT翻页等动作并将电脑画面切入导播画面。同时支持用户手动对电脑变化检测区域进行设定，最多支持绘制5个变化检测区，从而有效规避因电脑程序的自动运行而导致的录播画面误切换；</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9.内置多种直播服务器支持RTMP\RTSP\HLS\UDP等主流协议，支持直播客户端的拉流，也支持向外部其他直播服务器推流；支持多码流同步直播，方便用户根据不同的场景选择合适的直播码流进行观看；电影模式及资源模式视频可以同时向不同服务器推流直播；</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10.内置直播客户端，点击直播观看按钮就能看到录播的直播画面；同时支持移动设备通过扫描直播观看页面上的二维码直接在移动设备上观看直播；</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11.具有微媒体发布功能，能够通过网络将录播直播画面实时推送到所有指定分组的显示接收端，支持对推送对象进行分组，实现强制性定向推送；</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12.★系统内置简单非编功能，实现对录播主机录像文件和电脑本地的音视频文件进行截取、合并、片头片尾添加、背景音乐添加等功能，可以实时在线生成非编文件，支持非编文件实时回放、导出等；</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13.系统支持定时录制功能，支持按课时、按天、按周设置定制录制计划，支持每天不少于8组时间段的定制录像设置；</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14.统录制的电影及资源视频文件，支持录像回卷，在磁盘录满时可优先删除时间最早文件或即时停止录像。支持录像分段，录像文件可限时自动分割。</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15.支持信号源检测，无输入信号源自动停止录像，有效节省存储空间；</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16.录像文件支持本地硬盘存储，支持移动硬盘导出，支持云资源管理平台分享，支持上传第三方FTP服务器、支持上传专业数据仓库、支持UNC存储。上传策略丰富，支持闲暇上传、实时上传以及定时上传，支持不同用户上传不同目录，便于管理；</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17.支持自动采集视频相关的PPT目录，自动生成PPT索引，点击相关索引，视频自动从该处开始播放。</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18.为适应不同应用场景，任何一项资源画面都应可配置为是否允许切入导播画面，是否需要单独直播。</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19.系统能够提供丰富信号源状态信息（是否有信号输入、信号分辨率、信号格式）和系统信息状态（CPU、内存使用情况），方便管理者实时获取全盘了解录播主机运行状态，便于后期维护。</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20.软件提供灵活的用户管理权限控制功能，对于不同用户可以划分不同权限范围，细分为系统管理员、普通用户和访客。系统管理员拥有所有权限。支持用户添加、删除、权限设置、密码修改等，高级别用户可以强制下线低级别用户，支持在线查看当前登入录播主机的用户信息。</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高清云台摄像机</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1、图像传感器：1/2.8英寸CMOS</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2、有效像素：≥200万像素。</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3、视频输出：1080P30fps。</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4、镜头：18倍光学变焦,10倍数字变焦。</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5、焦距：f=5.5mm(广角端)～100.0mm(远端)，F1.6～F3.5。</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6、水平视角：53.9°(广角端) ～3.3°(远端)。</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7、聚集系统：支持自动/手动。</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8、快门速度：1/25～1/10000S</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9、信噪比：≥55dB。</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10、无线传输，最大传输速率可达300Mbps，空旷传输距离≥300米</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11、网络接口：RJ45*1；</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11、控制接口：RS232， 支持VISCA协议。</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摄像机三脚架</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摄像机专用三脚架，可方便360度旋转，可伸缩折叠，承重≥10KG。</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无线话筒套装</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1、拾音扩声一体化设计，可一键实现拾音和扩音切换；</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2、360°全向拾音；</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3、内置大功率扬声器，自动增益控制提供音频平稳输出；</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4、灵敏度：-22dBFS；信噪比：≥61dB；频响范围：60Hz-15kHz；</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5、噪声消除：自动降噪，＞15dB；采样率：16kHz/48kHz；</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6、支持2.4G无线连接，支持USB连接；</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7、内置大容量电池，支持不少于8小时的使用；</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8、接口：监听输出：3.5mm×1；充电：Mini USB×1。</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无线传输模块</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1、支持快速便捷固定在摄像机支架上，方便使用；</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2、支持内置可充电电池组供电，实现快速部署，便携使用；</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3、HDMI高清视频无线实时传输，即插即用，传输分辨率支持1080P；</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4、天线方式： 2x2 MIMO；无线传输数据数率：最大300Mbps；</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5、信道带宽： 20MHz/40MHz信道宽度选择；频带宽：40M/20MHz；</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6、支持自动识别HDMI输入信号，并提取音视频信号用于录制；</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7、编码方式支持265/H.264视频编码，AAC音频编码；</w:t>
            </w:r>
            <w:r>
              <w:rPr>
                <w:rFonts w:hint="eastAsia" w:ascii="宋体" w:hAnsi="宋体" w:eastAsia="宋体" w:cs="宋体"/>
                <w:b w:val="0"/>
                <w:bCs w:val="0"/>
                <w:kern w:val="0"/>
                <w:sz w:val="21"/>
                <w:szCs w:val="21"/>
                <w:lang w:val="en-US" w:eastAsia="zh-CN"/>
              </w:rPr>
              <w:br w:type="textWrapping"/>
            </w:r>
            <w:r>
              <w:rPr>
                <w:rFonts w:hint="eastAsia" w:ascii="宋体" w:hAnsi="宋体" w:eastAsia="宋体" w:cs="宋体"/>
                <w:b w:val="0"/>
                <w:bCs w:val="0"/>
                <w:kern w:val="0"/>
                <w:sz w:val="21"/>
                <w:szCs w:val="21"/>
                <w:lang w:val="en-US" w:eastAsia="zh-CN"/>
              </w:rPr>
              <w:t>8、接口：RJ-45≥1，HDMI输入≥1,音频输入≥1。</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lang w:val="en-US" w:eastAsia="zh-CN"/>
              </w:rPr>
              <w:t>航空箱</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移动录播全套设备放置管理；</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配有轮轴及可拉伸位杆，可拖行；</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防水、防撞击、防尘、耐高低温；</w:t>
            </w:r>
          </w:p>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kern w:val="0"/>
                <w:sz w:val="21"/>
                <w:szCs w:val="21"/>
                <w:lang w:val="en-US" w:eastAsia="zh-CN"/>
              </w:rPr>
              <w:t>航空材质，采用树脂涂层芝麻纹优质铝合金材质，双锁扣结构，EVA内衬，海绵型腔挖模。</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电视机</w:t>
            </w:r>
          </w:p>
        </w:tc>
        <w:tc>
          <w:tcPr>
            <w:tcW w:w="4997" w:type="dxa"/>
            <w:noWrap w:val="0"/>
            <w:vAlign w:val="center"/>
          </w:tcPr>
          <w:p>
            <w:pPr>
              <w:pStyle w:val="1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sz w:val="21"/>
                <w:szCs w:val="21"/>
              </w:rPr>
              <w:t>55寸高清电视机</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三、实验室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教师演示台</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1、规格：2400*700*850mm；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台面：采用≥13mm厚优抗板，且依据GB/T17657-2013《人造板及饰面人造板理化性能试验方法》、GB/T4893.1-2021《家具表面漆膜理化性能试验第1部分：耐冷液测定法》、JC/T908-2013《人造石》、GB/T3854-2017《增强塑料巴柯尔硬度试验方法》、GB/T35601-2017《绿色产品评价人造板和木质地板》、GB/T32487-2016《塑料家具通用技术条件》、GB/T16422.2-2014《塑料实验室光源暴露试验方法第2部分：氙弧灯》、GB6566-2010《建筑材料放射性核素限量》、GB6675.4-2014《玩具安全第4部分：特定元素的迁移》、GB8624-2012《建筑材料及制品燃烧性能分级》、AfPS  GS 2019:01 PAK《在GS标志认证过程中多环芳香烃（PAHs）的检测和验证产品限量依据产品安全法案第三章节21（1）条款》满足如下参数要求：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表面耐污染性能：耐污染性能不少于60项试验污染物的检测，且包含：丙酮、食盐溶液（10%溶液）、氢氧化钠（25%的溶液）、双氧水（30%的溶液）、硝酸银（1%的溶液）、硝酸（65%的溶液）、硫酸（98%的溶液）、柠檬酸（10%溶液）等试剂，覆盖玻璃盖板和未覆盖玻璃盖板检验结果均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2-2、密度：检验结果≥1.48g/cm³。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2-3、24h吸水率：检验结果≤0.4%。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2-4、静曲强度：检验结果≥78.0MPa。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2-5、弹性模量：检验结果≥11480MPa。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2-6、尺寸稳定性：检验结果≤0.6%。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2-7、耐高温性能：检验结果为试件表面无裂纹。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2-8、耐光色牢度：检验结果为4-5级。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2-9、表面耐水蒸气性能：检验结果为5级。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2-10、表面耐龟裂性能：检验结果为5级。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2-11、表面耐冷热循环性能：检验结果为无裂纹、鼓泡。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2-12、表面耐划痕性能：检验结果为表面无大于90%的连续划痕。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2-13、表面耐磨性能：检验结果为700r（转）。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2-14、表面耐香烟灼烧性能：检验结果为5级。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2-15、表面耐干热性能：检验结果为5级。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2-16、表面耐湿热性能：检验结果为5级。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2-17、抗冲击性能：检查结果为落球高度1000mm，压痕直径≤4.47mm，有轻微压痕。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2-18、耐液性：检验结果为耐酸（10%乙酸溶液）1级，耐碱（10%碳酸钠溶液）1级。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2-19、巴氏硬度：实体面材：UPR类：检验结果≥73。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2-20、含水率：检验结果≤0.7%。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品质属性：①甲醛释放量：检验结果≤0.03mg/m³。②挥发性有机化合物（72h）：A、苯，检验结果为未检出。B、甲苯，检验结果为未检出。C、二甲苯，检验结果为未检出。D、总挥发性有机化合物，检验结果为未检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2-22、塑料材料理化性能：耐老化性：室内用：1400h，检验结果为冲击强度的保持率：≥81%；外观颜色变色评级4级。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2-23、建筑材料放射性核素限量：检验结果为IRa=0，Ir=0。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-24、玩具材料中可迁移元素的最大限量要求：其他玩具材料（除造型黏土和指画颜料）：A、锑，检验结果为未检出。B、砷，检验结果为未检出。C、钡，检验结果≤2.8mg/kg。D、镉，检验结果≤0.5mg/kg。E、铬，检验结果≤2.4mg/kg。F、铅，检验结果≤7.3mg/kg。G、汞，检验结果≤0.02mg/kg。H、硒，检验结果为未检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2-25、火焰横向蔓延未到达试样长翼边缘：检验结果为三组试样火焰横向蔓延均未到达试样长翼边缘。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2-26、600s的总放热量（MJ）：检验结果≤15  15  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2-27、60s内焰尖高度：检验结果为纵向1、纵向2、纵向3、横向1、横向2、横向3火焰均未传播至150mm刻度线。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2-28、60s内无燃烧滴落物引燃滤纸现象：检验结果为纵向1、纵向2、纵向3、横向1、横向2、横向3燃烧滴落物均未引燃滤纸。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2-29、燃烧性能等级：检验结果为B1（C）级。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2-30、多环芳烃：检验结果为①苯并（a）芘：未检出②15种多环芳烃总和：未检出。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3、桌身：整体采用1.0mm厚优质冷轧钢板，全部钢制件纳米陶瓷镀膜防锈处理；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结构：演示台设有储物柜，中间为演示台,设置电源主控系统、多媒体设备（主机、显示器、中控、功放、交换机）的位置预留。含330*440mmPP水槽和三联水嘴。滑道：抽屉全部采用优质三节承重式滚珠滑道开合十万次不变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5、铰链：采用优质铰链，开合十万次不变形；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三联水嘴：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张</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学生实验桌</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1、规格：1200*600*780mm；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台面：采用12.7mm厚双面膜实芯理化板，且依据GB/T17657-2013《人造板及饰面人造板理化性能试验方法》、GB/T4893.1-2021《家具表面漆膜理化性能试验第1部分：耐冷液测定法》、JC/T908-2013《人造石》、GB/T3854-2017《增强塑料巴柯尔硬度试验方法》、GB/T35601-2017《绿色产品评价人造板和木质地板》、GB/T32487-2016《塑料家具通用技术条件》、GB/T16422.2-2014《塑料实验室光源暴露试验方法第2部分：氙弧灯》、GB6566-2010《建筑材料放射性核素限量》、GB6675.4-2014《玩具安全第4部分：特定元素的迁移》、GB8624-2012《建筑材料及制品燃烧性能分级》、GB/T20284-2006《建筑材料或制品的单体燃烧试验》、GB/T8626-2007《建筑材料可燃性试验方法》、AfPS  GS 2019:01 PAK《在GS标志认证过程中多环芳香烃（PAHs）的检测和验证产品限量依据产品安全法案第三章节21（1）条款》满足如下参数要求：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表面耐污染性能：耐污染性能不少于60项试验污染物的检测，且包含：丙酮、食盐溶液（10%溶液）、氢氧化钠（25%的溶液）、双氧水（30%的溶液）、硝酸银（1%的溶液）、硝酸（65%的溶液）、硫酸（98%的溶液）、柠檬酸（10%溶液）等试剂，覆盖玻璃盖板和未覆盖玻璃盖板检验结果均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2-2、密度：检验结果为1.46g/cm³。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2-3、24h吸水率：检验结果为0.3%。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2-4、静曲强度：检验结果≥81.8MPa。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2-5、弹性模量：检验结果≥12060MPa。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2-6、尺寸稳定性：检验结果为0.1%。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2-7、耐高温性能：检验结果为试件表面无裂纹。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2-8、耐光色牢度：检验结果为4-5级。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2-9、表面耐水蒸气性能：检验结果为5级。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2-10、表面耐龟裂性能：检验结果为5级。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2-11、表面耐冷热循环性能：检验结果为无裂纹、鼓泡。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2-12、表面耐划痕性能：检验结果为表面无大于90%的连续划痕。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2-13、表面耐磨性能：检验结果≥650r（转）。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2-14、表面耐香烟灼烧性能：检验结果为5级。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2-15、表面耐干热性能：检验结果为5级。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2-16、表面耐湿热性能：检验结果为5级。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2-17、抗冲击性能：检查结果为落球高度1000mm，压痕直径≤4.26mm，有轻微压痕。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2-18、耐液性：检验结果为耐酸（10%乙酸溶液）1级，耐碱（10%碳酸钠溶液）1级。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2-19、巴氏硬度：实体面材：UPR类：检验结果≥72。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2-20、含水率：检验结果≤0.8%。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品质属性：①甲醛释放量：检验结果≤0.02mg/m³。②挥发性有机化合物（72h）：A、苯，检验结果为未检出。B、甲苯，检验结果为6ug/m³。C、二甲苯，检验结果为未检出。D、总挥发性有机化合物，检验结果为46ug/m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2-22、塑料材料理化性能：耐老化性：室内用：1400h，检验结果为冲击强度的保持率：≥80%，外观颜色变色评级：4级。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2-23、建筑材料放射性核素限量：检验结果为IRa=0，Ir=0。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-24、玩具材料中可迁移元素的最大限量要求：其他玩具材料（除造型黏土和指画颜料）：A、锑，检验结果为未检出。B、砷，检验结果为未检出。C、钡，检验结果≤3.7mg/kg。D、镉，检验结果≤0.5mg/kg。E、铬，检验结果≤2.6mg/kg。F、铅，检验结果≤8.2mg/kg。G、汞，检验结果为0.02mg/kg。H、硒，检验结果为未检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2-25、火焰横向蔓延未到达试样长翼边缘：检验结果为三组试样火焰横向蔓延均未到达试样长翼边缘。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2-26、600s的总放热量（MJ）：检验结果≤15  15  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2-27、60s内焰尖高度（mm）：检验结果为纵向1、纵向2、纵向3、横向1、横向2、横向3火焰均未传播至150mm刻度线。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2-28、60s内无燃烧滴落物引燃滤纸现象：检验结果为纵向1、纵向2、纵向3、横向1、横向2、横向3燃烧滴落物均未引燃滤纸。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2-29、燃烧性能等级：检验结果为B1（C）级。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2-30、多环芳烃：检验结果为①苯并（a）芘：未检出②15种多环芳烃总和：未检出。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桌体采用流线型设计，支撑受力点合理布局，采用优质五金配件连接，不用胶水粘接，便于安装。外表面和内表面以可触及的隐蔽处，均无锐利的棱角、毛刺以及五金配件露出的锐利尖锐,所有接触人体的边棱均为倒圆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4、台身结构：新型塑铝结构，整体1180*570*760mm；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5、桌腿：采用工字型压铸铝一次成型，三段链接，材料表面经高压静电喷涂环氧树脂防护层，耐酸碱，耐腐蚀处理；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6、上腿规格：565*58*110mm，壁厚不小于2mm内部设有加强筋；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7、下腿规格：550*72*125mm，壁厚不小于2mm，配有M8*60mm的升降调节脚垫；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立柱：采用110×55mm，壁厚1.3mm，立柱两端内部有2个铸铝成型的螺丝链接位；内侧设有12*5mm的凹槽，使用锁拉扣链接桌体下横梁，调节方便，外侧设有装饰条。下横梁采用80*14.5mm目型铝型材制作壁厚1.2mm。前横梁采用29*27mm凹型铝型材制作壁厚1mm。中横梁采用29*31mm，D型铝型材制作壁厚1mm。后横梁：采用100*27mm，L型铝型材制作壁厚1mm。后横梁上侧设有挡水条。材料表面经高压静电喷涂环氧树脂防护层，耐酸碱，耐腐蚀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9、学生位设书包斗；书包斗:采用环保型ABS工程塑料一次性注塑成型。两个书包斗中间设有电源盒，方便使用。</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张</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功能柱</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1、功能柱:由底座、立柱、两端装饰条组成；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2、规格：长390mm宽220mm高720mm，采用环保型ABS工程塑料注塑成型；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3、底座尺寸：390*220*30mm，壁厚≥3mm，内部设有加强筋；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底座上设有8个螺丝口用于连接立柱和固定地面。立柱主体尺寸：340*195*690mm，上下口尺寸：300*145mm，立柱两端各设有两个螺丝固定口，装饰条用于掩盖螺丝口使其更加美观。主要功能是保护学生通风管道及电线电缆作用，配套于学生桌，美观大方。</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水槽柜</w:t>
            </w:r>
          </w:p>
        </w:tc>
        <w:tc>
          <w:tcPr>
            <w:tcW w:w="4997"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1、柜体规格:595×400×790mm；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2、榫卯连接结构并合理布局加强筋，安装时不用胶水粘结，使用产品自身力量相互连接，产品不变形，不扭曲；用M6螺丝固定；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3、前门规格：510*365mm，主体壁厚不小于2mm背面设有厚2mm、高度不低于4.5mm的加强筋横6根竖6根；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4、前门带内凹式塑料扣手，门与整体水柜不用铰链连接，直接采用内嵌式组装。柜子整体采用环保型ABS工程塑料注塑成型；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5、水槽规格：595*400*300mm，水槽采用环保型PP材料一次性注塑成型，耐强酸碱&lt;80度有机溶剂并耐150度以下高温，壁厚3.5mm；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6、侧板规格495*550*30mm，左右侧板一致、主体壁厚不小于2.5mm、背面设有厚2mm、高度不低于5.5mm的加强筋横4根竖4根；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7、水槽上设有滴水架，滴水架撑矩形上窄下宽规格400*180*300mm，斜面上设有10个滴水管，滴水管呈35度角倾斜、直径不小于8.5mm，长不小于65mm；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8、（1）滴水架两侧设有电源面板 面板采用阻燃ABS制作，选用进口PC贴膜，美观耐用。面板上设有新国标五孔插座，输出受教师主控的控制；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（2）通过上下键步进调节直流输出，保证输出的连续性。配有1.8寸LCD液晶显示输出设定值；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（3）学生电源的低压交流0-24V/2A,分辨率2V,有老师集中控制。具备自动过载保护功能；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（4）学生电源的低压直流,0-30v/2A,可在教师控制范围内微调，也可被锁定后有老师统一控制，精确给定电压，分辨率0.1V。具备自动过载保护功能，过载后并有数字闪烁提示；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（5）低压及220V高压分开控制均分4组。学生桌的220市电断开时，低压可正常使用；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（6）学生电源被教师控制及锁定后，不能自主操作。</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三联水嘴</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1、鹅颈式实验室专用优质化验水嘴：要求防酸碱、防锈、防虹吸、防阻塞，表面环氧树脂喷涂；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2、出水嘴为铜质瓷芯，高头，便于多用途使用，可拆卸清洗阻塞。出水嘴可拆卸，内有成型螺纹，可方便连接循环等特殊用水水管。</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教师总控电源</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教师主控电源采用微电脑控制，轻触摸操作、PVC贴膜，数字化控制、数码显示,密码或刷卡开机功能，主要功能为：1.采用数码管显示教师和学生交直流电压，电流。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2、分4组向学生实验桌输出安全的220V交流电源，具备漏电及过载保护功能。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3.教师自用低压交流电压为0V-18V/5A.19V-30V/3A，分辨率为1V。具备自动过载保护功能。功能模块有语音提示。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4、教师自用低压直流电压为0V-18V/5A.19V-30V/3A，分辨率为0.1V。具备自动过载保护功能。功能模块有语音提示。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5、教师的直流电源过载方式：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关于直流电流设置，在直流模式下有分恒流和恒压两种模式。直流输出模式下，按“CV/CC”按键可以在恒压和恒流模式之间进行切换。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CV指示灯亮是恒压模式。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CC指示灯亮是恒流模式，在恒流模式下按“电流调节”按键恒流电流可以在1A.2A.3A之间循环切换，相应的数码管会有相应的输出指示。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A: 恒压模式：CV指示灯亮是恒压模式，在恒压模式下电流过载保护说明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恒压模式，由教师设置电流保护值，（当电压小于18V时，过载保护电流可以设置1A,2A,3A,4A,5A输出保护，当电压大于等于18V时，过载保护电流可以设置1A,2A,3A输出保护）设定1A保护，超过1A就截止输出，数码管有输出提示过载；设定3A保护，超过3A就截止输出，数码管有输出提示过载。当电压从新设置过后，过载电流默认在中间值过载，比如小于18时是3A,大于等于18V时是2A，如要改变过载电流时需要按电流设定键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B:恒流模式: CC指示灯亮是恒流模式，在恒流模式下输出可以短接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恒流模式，由教师设置输出电流值，（1A,2A,3A）设定1，零欧负载（短路输出测试），可接电流表查看输出电流值。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8.大电流输出值为9秒40A，9秒自动断开，当输出电流大于等45A时即便时间没到输出也会过载保护断开（过载断开参数可定制）。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9.有150V  240V  300V、100mA，高压直流电源，有过载保护，教师可用选择按键任意选择所需高压直流电源。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10.教师电源可控制和锁定学生的低压交流电压和直流电压。控制交流电压为0V-30V,分辨率为1V；控制直流电压位0V-30V，分辨率为0.1V。功能模块及按键都有语音提示。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11.在教师电源锁定学生电源的状态下，教师电源可控制学生电源的过载电流值，分别是（1A,1.8A,2.5A）三个档位。</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实验光源</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1、采用塑料材质的灯座支架；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2、7w的光源；亮度高，光照角度可调。</w:t>
            </w:r>
          </w:p>
        </w:tc>
        <w:tc>
          <w:tcPr>
            <w:tcW w:w="69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72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洗眼器</w:t>
            </w:r>
          </w:p>
        </w:tc>
        <w:tc>
          <w:tcPr>
            <w:tcW w:w="499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1、洗眼喷头要求：采用不助燃PC材质模铸一体成形制作；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2、具有过滤泡棉及防尘功能，上面防尘盖平常可防尘，使用时可随时被水冲开，并降低突然打开时短暂的高水压，避免冲伤眼睛。</w:t>
            </w:r>
          </w:p>
        </w:tc>
        <w:tc>
          <w:tcPr>
            <w:tcW w:w="694"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722" w:type="dxa"/>
            <w:noWrap w:val="0"/>
            <w:vAlign w:val="center"/>
          </w:tcPr>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四、单人升降课桌凳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rPr>
              <w:t>单人升降课桌凳</w:t>
            </w:r>
          </w:p>
        </w:tc>
        <w:tc>
          <w:tcPr>
            <w:tcW w:w="49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桌子要求：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整体规格：600mm（长）×400mm（宽）×高（510-760）mm。</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1、桌面：600×400mm，采用优质密度板，双面三聚氰胺贴面，四周采用PP工程塑料无接头一次注塑封边，封边为工程原料，不褪色，不脱落，无毛刺。厚度≥18mm、桌面为淡黄榉色，四角磨出圆角,带塑料包边。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2、桌斗：尺寸按比例制作。材料采用1.0mm厚度钢板一次冲压成型，边沿卷为R3mm圆形加强筋。侧面配有U型物品挂钩，挂钩承重≥10Kg， 钩端做圆弧处理且不超出桌面边缘之外。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桌架：立腿及底管管材采用30mm×60mm×1.2mm椭圆管，升降采用20×50×1.2mm椭圆管，拉筋采用20×50×1.2mm椭圆管，桌面拖撑采用1.5mm厚冲压件，升降管与立腿紧密配合，升降接口有塑制封头，处理安全、牢固、科学、合理、美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4、脚套：采用纯聚氨酯注塑成型，脚垫固定安全牢固。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5、其他符合GB/T3976-2014标准。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凳子要求：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整体规格：340mm（长）×240mm（宽）×高（380-440）mm；</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1、凳面：340×240mm，采用优质密度板，厚度≥18mm、凳面为淡黄榉色，四角磨出圆角。</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凳架：立腿及底管管材采用30mm×60mm×1.2mm椭圆管，升降采用20×50×1.2mm椭圆管，拉筋采用20×50×1.2mm椭圆管，凳面拖撑采用1.5mm厚冲压件，升降管与立腿紧密配合，升降接口有塑制封头，处理安全、牢固、科学、合理、美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3、脚套：采用纯聚氨酯注塑成型，脚垫固定安全牢固。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4、其他符合GB/T3976-2014标准。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课桌凳工艺及要求：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桌凳架颜色为灰白色。</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1、钢材符合国家相关标准，焊接采用CO²保护焊焊接，焊接部位均为满焊、焊平、焊实、平滑无毛刺，表面经喷砂抛丸去油除锈处理，静电喷塑，高温固化。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2、整体做工精细，连接部位采用国标止退螺栓，自锁螺母，组装后放置平稳、牢固、无晃动。凳面周围带塑料包边。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样式参考</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sz w:val="21"/>
                <w:szCs w:val="21"/>
              </w:rPr>
              <w:drawing>
                <wp:inline distT="0" distB="0" distL="114300" distR="114300">
                  <wp:extent cx="1887855" cy="2649855"/>
                  <wp:effectExtent l="0" t="0" r="17145" b="17145"/>
                  <wp:docPr id="2" name="图片 3" descr="说明: C:\Users\ADMINI~1\AppData\Local\Temp\ksohtml1752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C:\Users\ADMINI~1\AppData\Local\Temp\ksohtml17520\wps1.jpg"/>
                          <pic:cNvPicPr>
                            <a:picLocks noChangeAspect="1"/>
                          </pic:cNvPicPr>
                        </pic:nvPicPr>
                        <pic:blipFill>
                          <a:blip r:embed="rId6"/>
                          <a:stretch>
                            <a:fillRect/>
                          </a:stretch>
                        </pic:blipFill>
                        <pic:spPr>
                          <a:xfrm>
                            <a:off x="0" y="0"/>
                            <a:ext cx="1887855" cy="2649855"/>
                          </a:xfrm>
                          <a:prstGeom prst="rect">
                            <a:avLst/>
                          </a:prstGeom>
                          <a:noFill/>
                          <a:ln>
                            <a:noFill/>
                          </a:ln>
                        </pic:spPr>
                      </pic:pic>
                    </a:graphicData>
                  </a:graphic>
                </wp:inline>
              </w:drawing>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五、6人餐桌凳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6人餐桌凳</w:t>
            </w:r>
          </w:p>
        </w:tc>
        <w:tc>
          <w:tcPr>
            <w:tcW w:w="49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1、材质：不锈钢桌面，不锈钢201材质，厚度≥0.3mm厚。</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2、桌面：1600*600mm不锈钢，下面用高密度粘合板，厚度达到≥25mm</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3、凳面：300mm塑料圆凳</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4、桌架：50*50*1.0mm方铁管，支架与地面接触处有橡胶套保护，以防压坏地面，牢固耐用，美观大方。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总体尺寸：长1600mm/宽1400mm/高750mm</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8"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六、学生双人床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07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学生双人床</w:t>
            </w:r>
          </w:p>
        </w:tc>
        <w:tc>
          <w:tcPr>
            <w:tcW w:w="4997"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一、床总体规格：</w:t>
            </w:r>
            <w:r>
              <w:rPr>
                <w:rFonts w:hint="eastAsia" w:ascii="宋体" w:hAnsi="宋体" w:eastAsia="宋体" w:cs="宋体"/>
                <w:color w:val="000000"/>
                <w:sz w:val="21"/>
                <w:szCs w:val="21"/>
                <w:lang w:val="en-US" w:eastAsia="zh-CN"/>
              </w:rPr>
              <w:t>18</w:t>
            </w:r>
            <w:r>
              <w:rPr>
                <w:rFonts w:hint="eastAsia" w:ascii="宋体" w:hAnsi="宋体" w:eastAsia="宋体" w:cs="宋体"/>
                <w:color w:val="000000"/>
                <w:sz w:val="21"/>
                <w:szCs w:val="21"/>
                <w:lang w:eastAsia="zh-CN"/>
              </w:rPr>
              <w:t>00mm（长）</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lang w:eastAsia="zh-CN"/>
              </w:rPr>
              <w:t>00mm（宽）</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1</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lang w:eastAsia="zh-CN"/>
              </w:rPr>
              <w:t>00mm（高），</w:t>
            </w:r>
            <w:r>
              <w:rPr>
                <w:rFonts w:hint="eastAsia" w:ascii="宋体" w:hAnsi="宋体" w:eastAsia="宋体" w:cs="宋体"/>
                <w:color w:val="000000"/>
                <w:sz w:val="21"/>
                <w:szCs w:val="21"/>
                <w:lang w:val="en-US" w:eastAsia="zh-CN"/>
              </w:rPr>
              <w:t>主体材料全部采用松木制造。</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Chars="0"/>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床立柱采用：50×80mm；床长、短横梁采用：97×30mm；床沿：采用30*97mm，床护栏采用：45×30mm；床护栏竖料采用：45×25mm，侧梯料采用：45×30mm，床板采用≥15mm厚杉木板，双面抛光，床板下撑每铺5根，每根45*33mm（床撑子为杂木）。床排全部采用椭圆型带倒挂榫卯结构进行设计，增加安全美观，其中床横梁与床立柱采用优质螺栓件紧密连接，使用寿命长。</w:t>
            </w:r>
          </w:p>
          <w:p>
            <w:pPr>
              <w:keepNext w:val="0"/>
              <w:keepLines w:val="0"/>
              <w:pageBreakBefore w:val="0"/>
              <w:numPr>
                <w:ilvl w:val="0"/>
                <w:numId w:val="0"/>
              </w:numPr>
              <w:kinsoku/>
              <w:wordWrap/>
              <w:overflowPunct/>
              <w:topLinePunct w:val="0"/>
              <w:autoSpaceDE/>
              <w:autoSpaceDN/>
              <w:bidi w:val="0"/>
              <w:adjustRightInd w:val="0"/>
              <w:snapToGrid w:val="0"/>
              <w:spacing w:line="240" w:lineRule="auto"/>
              <w:jc w:val="both"/>
              <w:rPr>
                <w:rFonts w:hint="eastAsia" w:ascii="宋体" w:hAnsi="宋体" w:eastAsia="宋体" w:cs="宋体"/>
                <w:b w:val="0"/>
                <w:bCs w:val="0"/>
                <w:sz w:val="21"/>
                <w:szCs w:val="21"/>
                <w:lang w:eastAsia="zh-CN"/>
              </w:rPr>
            </w:pPr>
            <w:r>
              <w:rPr>
                <w:rFonts w:hint="eastAsia" w:ascii="宋体" w:hAnsi="宋体" w:eastAsia="宋体" w:cs="宋体"/>
                <w:color w:val="000000"/>
                <w:sz w:val="21"/>
                <w:szCs w:val="21"/>
                <w:lang w:val="en-US" w:eastAsia="zh-CN"/>
              </w:rPr>
              <w:t>三、各种配件安装后应严密、平整、端正、牢固、结合处应无开裂或松动。榫头、零部件等结合处不应断裂，榫眼采用水基胶粘剂装斗。涂层应平整光滑、清晰、无明显粒子、涨边现象。油漆工艺：采用环保滚涂五底三面UV透明漆。</w:t>
            </w:r>
          </w:p>
        </w:tc>
        <w:tc>
          <w:tcPr>
            <w:tcW w:w="69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套</w:t>
            </w:r>
          </w:p>
        </w:tc>
        <w:tc>
          <w:tcPr>
            <w:tcW w:w="72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500</w:t>
            </w:r>
          </w:p>
        </w:tc>
      </w:tr>
    </w:tbl>
    <w:p>
      <w:pPr>
        <w:pStyle w:val="16"/>
        <w:rPr>
          <w:rFonts w:hint="eastAsia"/>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bookmarkStart w:id="60" w:name="_Toc16742"/>
      <w:bookmarkStart w:id="61" w:name="_TOC_250001"/>
      <w:bookmarkStart w:id="62" w:name="_Toc22935"/>
      <w:r>
        <w:br w:type="page"/>
      </w:r>
    </w:p>
    <w:p>
      <w:pPr>
        <w:pStyle w:val="3"/>
        <w:spacing w:line="533" w:lineRule="exact"/>
        <w:ind w:right="107" w:firstLine="1325" w:firstLineChars="300"/>
        <w:jc w:val="left"/>
        <w:rPr>
          <w:b w:val="0"/>
        </w:rPr>
      </w:pPr>
      <w:r>
        <w:t>第</w:t>
      </w:r>
      <w:r>
        <w:rPr>
          <w:rFonts w:hint="eastAsia"/>
        </w:rPr>
        <w:t>五</w:t>
      </w:r>
      <w:r>
        <w:t>章评标办法</w:t>
      </w:r>
      <w:bookmarkEnd w:id="60"/>
      <w:bookmarkEnd w:id="61"/>
      <w:r>
        <w:rPr>
          <w:rFonts w:hint="eastAsia"/>
        </w:rPr>
        <w:t>（综合评</w:t>
      </w:r>
      <w:r>
        <w:rPr>
          <w:rFonts w:hint="eastAsia"/>
          <w:lang w:eastAsia="zh-CN"/>
        </w:rPr>
        <w:t>估</w:t>
      </w:r>
      <w:r>
        <w:rPr>
          <w:rFonts w:hint="eastAsia"/>
        </w:rPr>
        <w:t>法）</w:t>
      </w:r>
      <w:bookmarkEnd w:id="62"/>
    </w:p>
    <w:tbl>
      <w:tblPr>
        <w:tblStyle w:val="28"/>
        <w:tblW w:w="9532" w:type="dxa"/>
        <w:tblInd w:w="-404" w:type="dxa"/>
        <w:tblLayout w:type="fixed"/>
        <w:tblCellMar>
          <w:top w:w="0" w:type="dxa"/>
          <w:left w:w="0" w:type="dxa"/>
          <w:bottom w:w="0" w:type="dxa"/>
          <w:right w:w="0" w:type="dxa"/>
        </w:tblCellMar>
      </w:tblPr>
      <w:tblGrid>
        <w:gridCol w:w="813"/>
        <w:gridCol w:w="1660"/>
        <w:gridCol w:w="4959"/>
        <w:gridCol w:w="2100"/>
      </w:tblGrid>
      <w:tr>
        <w:tblPrEx>
          <w:tblCellMar>
            <w:top w:w="0" w:type="dxa"/>
            <w:left w:w="0" w:type="dxa"/>
            <w:bottom w:w="0" w:type="dxa"/>
            <w:right w:w="0" w:type="dxa"/>
          </w:tblCellMar>
        </w:tblPrEx>
        <w:trPr>
          <w:trHeight w:val="1067" w:hRule="exact"/>
        </w:trPr>
        <w:tc>
          <w:tcPr>
            <w:tcW w:w="2473" w:type="dxa"/>
            <w:gridSpan w:val="2"/>
            <w:tcBorders>
              <w:top w:val="single" w:color="000000" w:sz="2" w:space="0"/>
              <w:left w:val="single" w:color="000000" w:sz="2" w:space="0"/>
              <w:bottom w:val="single" w:color="000000" w:sz="2" w:space="0"/>
              <w:right w:val="single" w:color="000000" w:sz="2" w:space="0"/>
            </w:tcBorders>
          </w:tcPr>
          <w:p>
            <w:pPr>
              <w:pStyle w:val="42"/>
              <w:spacing w:before="6"/>
              <w:jc w:val="left"/>
              <w:rPr>
                <w:rFonts w:ascii="宋体" w:hAnsi="宋体" w:cs="宋体"/>
              </w:rPr>
            </w:pPr>
          </w:p>
          <w:p>
            <w:pPr>
              <w:pStyle w:val="42"/>
              <w:ind w:left="310"/>
              <w:jc w:val="left"/>
              <w:rPr>
                <w:rFonts w:ascii="宋体" w:hAnsi="宋体" w:cs="宋体"/>
              </w:rPr>
            </w:pPr>
            <w:r>
              <w:rPr>
                <w:rFonts w:hint="eastAsia" w:ascii="宋体" w:hAnsi="宋体" w:cs="宋体"/>
                <w:b/>
                <w:bCs/>
                <w:w w:val="102"/>
              </w:rPr>
              <w:t>条款号</w:t>
            </w:r>
          </w:p>
        </w:tc>
        <w:tc>
          <w:tcPr>
            <w:tcW w:w="4959" w:type="dxa"/>
            <w:tcBorders>
              <w:top w:val="single" w:color="000000" w:sz="2" w:space="0"/>
              <w:left w:val="single" w:color="000000" w:sz="2" w:space="0"/>
              <w:bottom w:val="single" w:color="000000" w:sz="2" w:space="0"/>
              <w:right w:val="single" w:color="000000" w:sz="2" w:space="0"/>
            </w:tcBorders>
          </w:tcPr>
          <w:p>
            <w:pPr>
              <w:pStyle w:val="42"/>
              <w:spacing w:before="6"/>
              <w:jc w:val="left"/>
              <w:rPr>
                <w:rFonts w:ascii="宋体" w:hAnsi="宋体" w:cs="宋体"/>
              </w:rPr>
            </w:pPr>
          </w:p>
          <w:p>
            <w:pPr>
              <w:pStyle w:val="42"/>
              <w:ind w:left="6"/>
              <w:jc w:val="center"/>
              <w:rPr>
                <w:rFonts w:ascii="宋体" w:hAnsi="宋体" w:cs="宋体"/>
              </w:rPr>
            </w:pPr>
            <w:r>
              <w:rPr>
                <w:rFonts w:hint="eastAsia" w:ascii="宋体" w:hAnsi="宋体" w:cs="宋体"/>
                <w:b/>
                <w:bCs/>
                <w:w w:val="102"/>
              </w:rPr>
              <w:t>评审因素</w:t>
            </w:r>
          </w:p>
        </w:tc>
        <w:tc>
          <w:tcPr>
            <w:tcW w:w="2100" w:type="dxa"/>
            <w:tcBorders>
              <w:top w:val="single" w:color="000000" w:sz="2" w:space="0"/>
              <w:left w:val="single" w:color="000000" w:sz="2" w:space="0"/>
              <w:bottom w:val="single" w:color="000000" w:sz="2" w:space="0"/>
              <w:right w:val="single" w:color="000000" w:sz="2" w:space="0"/>
            </w:tcBorders>
          </w:tcPr>
          <w:p>
            <w:pPr>
              <w:pStyle w:val="42"/>
              <w:spacing w:before="6"/>
              <w:jc w:val="left"/>
              <w:rPr>
                <w:rFonts w:ascii="宋体" w:hAnsi="宋体" w:cs="宋体"/>
              </w:rPr>
            </w:pPr>
          </w:p>
          <w:p>
            <w:pPr>
              <w:pStyle w:val="42"/>
              <w:ind w:left="551"/>
              <w:jc w:val="left"/>
              <w:rPr>
                <w:rFonts w:ascii="宋体" w:hAnsi="宋体" w:cs="宋体"/>
              </w:rPr>
            </w:pPr>
            <w:r>
              <w:rPr>
                <w:rFonts w:hint="eastAsia" w:ascii="宋体" w:hAnsi="宋体" w:cs="宋体"/>
                <w:b/>
                <w:bCs/>
                <w:w w:val="102"/>
              </w:rPr>
              <w:t>评审标准</w:t>
            </w:r>
          </w:p>
        </w:tc>
      </w:tr>
      <w:tr>
        <w:tblPrEx>
          <w:tblCellMar>
            <w:top w:w="0" w:type="dxa"/>
            <w:left w:w="0" w:type="dxa"/>
            <w:bottom w:w="0" w:type="dxa"/>
            <w:right w:w="0" w:type="dxa"/>
          </w:tblCellMar>
        </w:tblPrEx>
        <w:trPr>
          <w:trHeight w:val="790" w:hRule="exact"/>
        </w:trPr>
        <w:tc>
          <w:tcPr>
            <w:tcW w:w="813" w:type="dxa"/>
            <w:vMerge w:val="restart"/>
            <w:tcBorders>
              <w:top w:val="single" w:color="000000" w:sz="2" w:space="0"/>
              <w:left w:val="single" w:color="000000" w:sz="2" w:space="0"/>
              <w:right w:val="single" w:color="000000" w:sz="2" w:space="0"/>
            </w:tcBorders>
            <w:vAlign w:val="center"/>
          </w:tcPr>
          <w:p>
            <w:pPr>
              <w:pStyle w:val="42"/>
              <w:rPr>
                <w:rFonts w:ascii="宋体" w:hAnsi="宋体" w:cs="宋体"/>
              </w:rPr>
            </w:pPr>
            <w:r>
              <w:rPr>
                <w:rFonts w:hint="eastAsia" w:ascii="宋体" w:hAnsi="宋体" w:cs="宋体"/>
                <w:w w:val="102"/>
              </w:rPr>
              <w:t>2.1.1</w:t>
            </w:r>
          </w:p>
        </w:tc>
        <w:tc>
          <w:tcPr>
            <w:tcW w:w="1660" w:type="dxa"/>
            <w:vMerge w:val="restart"/>
            <w:tcBorders>
              <w:top w:val="single" w:color="000000" w:sz="2" w:space="0"/>
              <w:left w:val="single" w:color="000000" w:sz="2" w:space="0"/>
              <w:right w:val="single" w:color="000000" w:sz="2" w:space="0"/>
            </w:tcBorders>
            <w:vAlign w:val="center"/>
          </w:tcPr>
          <w:p>
            <w:pPr>
              <w:pStyle w:val="42"/>
              <w:spacing w:before="177"/>
              <w:rPr>
                <w:rFonts w:ascii="宋体" w:hAnsi="宋体" w:cs="宋体"/>
              </w:rPr>
            </w:pPr>
            <w:r>
              <w:rPr>
                <w:rFonts w:hint="eastAsia" w:ascii="宋体" w:hAnsi="宋体" w:cs="宋体"/>
                <w:spacing w:val="1"/>
                <w:w w:val="102"/>
              </w:rPr>
              <w:t>形式评审标准</w:t>
            </w:r>
          </w:p>
        </w:tc>
        <w:tc>
          <w:tcPr>
            <w:tcW w:w="4959" w:type="dxa"/>
            <w:tcBorders>
              <w:top w:val="single" w:color="000000" w:sz="2" w:space="0"/>
              <w:left w:val="single" w:color="000000" w:sz="2" w:space="0"/>
              <w:bottom w:val="single" w:color="auto" w:sz="4" w:space="0"/>
              <w:right w:val="single" w:color="000000" w:sz="2" w:space="0"/>
            </w:tcBorders>
          </w:tcPr>
          <w:p>
            <w:pPr>
              <w:pStyle w:val="42"/>
              <w:spacing w:before="5"/>
              <w:jc w:val="left"/>
              <w:rPr>
                <w:rFonts w:ascii="宋体" w:hAnsi="宋体" w:cs="宋体"/>
              </w:rPr>
            </w:pPr>
          </w:p>
          <w:p>
            <w:pPr>
              <w:pStyle w:val="42"/>
              <w:ind w:left="7"/>
              <w:jc w:val="center"/>
              <w:rPr>
                <w:rFonts w:ascii="宋体" w:hAnsi="宋体" w:cs="宋体"/>
              </w:rPr>
            </w:pPr>
            <w:r>
              <w:rPr>
                <w:rFonts w:hint="eastAsia" w:ascii="宋体" w:hAnsi="宋体" w:cs="宋体"/>
                <w:w w:val="102"/>
              </w:rPr>
              <w:t>供应商名称</w:t>
            </w:r>
          </w:p>
        </w:tc>
        <w:tc>
          <w:tcPr>
            <w:tcW w:w="2100" w:type="dxa"/>
            <w:tcBorders>
              <w:top w:val="single" w:color="000000" w:sz="2" w:space="0"/>
              <w:left w:val="single" w:color="000000" w:sz="2" w:space="0"/>
              <w:bottom w:val="single" w:color="000000" w:sz="2" w:space="0"/>
              <w:right w:val="single" w:color="000000" w:sz="2" w:space="0"/>
            </w:tcBorders>
          </w:tcPr>
          <w:p>
            <w:pPr>
              <w:pStyle w:val="42"/>
              <w:spacing w:before="60"/>
              <w:ind w:left="139"/>
              <w:jc w:val="left"/>
              <w:rPr>
                <w:rFonts w:ascii="宋体" w:hAnsi="宋体" w:cs="宋体"/>
                <w:spacing w:val="1"/>
                <w:w w:val="102"/>
              </w:rPr>
            </w:pPr>
            <w:r>
              <w:rPr>
                <w:rFonts w:hint="eastAsia" w:ascii="宋体" w:hAnsi="宋体" w:cs="宋体"/>
                <w:spacing w:val="1"/>
                <w:w w:val="102"/>
              </w:rPr>
              <w:t>与营业执照、资质</w:t>
            </w:r>
          </w:p>
          <w:p>
            <w:pPr>
              <w:pStyle w:val="42"/>
              <w:spacing w:line="238" w:lineRule="exact"/>
              <w:ind w:left="551"/>
              <w:jc w:val="left"/>
              <w:rPr>
                <w:rFonts w:ascii="宋体" w:hAnsi="宋体" w:cs="宋体"/>
              </w:rPr>
            </w:pPr>
            <w:r>
              <w:rPr>
                <w:rFonts w:hint="eastAsia" w:ascii="宋体" w:hAnsi="宋体" w:cs="宋体"/>
                <w:spacing w:val="1"/>
                <w:w w:val="102"/>
              </w:rPr>
              <w:t>证书一致</w:t>
            </w:r>
          </w:p>
        </w:tc>
      </w:tr>
      <w:tr>
        <w:tblPrEx>
          <w:tblCellMar>
            <w:top w:w="0" w:type="dxa"/>
            <w:left w:w="0" w:type="dxa"/>
            <w:bottom w:w="0" w:type="dxa"/>
            <w:right w:w="0" w:type="dxa"/>
          </w:tblCellMar>
        </w:tblPrEx>
        <w:trPr>
          <w:trHeight w:val="692" w:hRule="exact"/>
        </w:trPr>
        <w:tc>
          <w:tcPr>
            <w:tcW w:w="813" w:type="dxa"/>
            <w:vMerge w:val="continue"/>
            <w:tcBorders>
              <w:left w:val="single" w:color="000000" w:sz="2" w:space="0"/>
              <w:bottom w:val="single" w:color="auto" w:sz="4" w:space="0"/>
              <w:right w:val="single" w:color="000000" w:sz="2" w:space="0"/>
            </w:tcBorders>
            <w:vAlign w:val="center"/>
          </w:tcPr>
          <w:p>
            <w:pPr>
              <w:jc w:val="center"/>
              <w:rPr>
                <w:rFonts w:ascii="宋体" w:hAnsi="宋体" w:cs="宋体"/>
              </w:rPr>
            </w:pPr>
          </w:p>
        </w:tc>
        <w:tc>
          <w:tcPr>
            <w:tcW w:w="1660" w:type="dxa"/>
            <w:vMerge w:val="continue"/>
            <w:tcBorders>
              <w:left w:val="single" w:color="000000" w:sz="2" w:space="0"/>
              <w:bottom w:val="single" w:color="auto" w:sz="4" w:space="0"/>
              <w:right w:val="single" w:color="000000" w:sz="2" w:space="0"/>
            </w:tcBorders>
            <w:vAlign w:val="center"/>
          </w:tcPr>
          <w:p>
            <w:pPr>
              <w:jc w:val="center"/>
              <w:rPr>
                <w:rFonts w:ascii="宋体" w:hAnsi="宋体" w:cs="宋体"/>
              </w:rPr>
            </w:pPr>
          </w:p>
        </w:tc>
        <w:tc>
          <w:tcPr>
            <w:tcW w:w="4959" w:type="dxa"/>
            <w:tcBorders>
              <w:top w:val="single" w:color="auto" w:sz="4" w:space="0"/>
              <w:left w:val="single" w:color="000000" w:sz="2" w:space="0"/>
              <w:bottom w:val="single" w:color="auto" w:sz="4" w:space="0"/>
              <w:right w:val="single" w:color="000000" w:sz="2" w:space="0"/>
            </w:tcBorders>
          </w:tcPr>
          <w:p>
            <w:pPr>
              <w:pStyle w:val="42"/>
              <w:spacing w:before="6"/>
              <w:jc w:val="left"/>
              <w:rPr>
                <w:rFonts w:ascii="宋体" w:hAnsi="宋体" w:cs="宋体"/>
              </w:rPr>
            </w:pPr>
          </w:p>
          <w:p>
            <w:pPr>
              <w:pStyle w:val="42"/>
              <w:ind w:left="6"/>
              <w:jc w:val="center"/>
              <w:rPr>
                <w:rFonts w:ascii="宋体" w:hAnsi="宋体" w:cs="宋体"/>
                <w:w w:val="102"/>
              </w:rPr>
            </w:pPr>
            <w:r>
              <w:rPr>
                <w:rFonts w:hint="eastAsia" w:ascii="宋体" w:hAnsi="宋体" w:cs="宋体"/>
                <w:w w:val="102"/>
              </w:rPr>
              <w:t>报价函签字盖章</w:t>
            </w:r>
          </w:p>
          <w:p>
            <w:pPr>
              <w:pStyle w:val="42"/>
              <w:ind w:left="6"/>
              <w:jc w:val="center"/>
              <w:rPr>
                <w:rFonts w:ascii="宋体" w:hAnsi="宋体" w:cs="宋体"/>
              </w:rPr>
            </w:pPr>
          </w:p>
        </w:tc>
        <w:tc>
          <w:tcPr>
            <w:tcW w:w="2100" w:type="dxa"/>
            <w:tcBorders>
              <w:top w:val="single" w:color="000000" w:sz="2" w:space="0"/>
              <w:left w:val="single" w:color="000000" w:sz="2" w:space="0"/>
              <w:bottom w:val="single" w:color="auto" w:sz="4" w:space="0"/>
              <w:right w:val="single" w:color="000000" w:sz="2" w:space="0"/>
            </w:tcBorders>
          </w:tcPr>
          <w:p>
            <w:pPr>
              <w:pStyle w:val="42"/>
              <w:spacing w:before="76" w:line="256" w:lineRule="auto"/>
              <w:ind w:left="346" w:right="138" w:hanging="207"/>
              <w:jc w:val="left"/>
              <w:rPr>
                <w:rFonts w:ascii="宋体" w:hAnsi="宋体" w:cs="宋体"/>
                <w:w w:val="102"/>
              </w:rPr>
            </w:pPr>
            <w:r>
              <w:rPr>
                <w:rFonts w:hint="eastAsia" w:ascii="宋体" w:hAnsi="宋体" w:cs="宋体"/>
                <w:w w:val="102"/>
              </w:rPr>
              <w:t>按照采购文件的要</w:t>
            </w:r>
            <w:r>
              <w:rPr>
                <w:rFonts w:hint="eastAsia" w:ascii="宋体" w:hAnsi="宋体" w:cs="宋体"/>
                <w:spacing w:val="2"/>
                <w:w w:val="102"/>
              </w:rPr>
              <w:t>求签</w:t>
            </w:r>
            <w:r>
              <w:rPr>
                <w:rFonts w:hint="eastAsia" w:ascii="宋体" w:hAnsi="宋体" w:cs="宋体"/>
                <w:spacing w:val="-3"/>
                <w:w w:val="102"/>
              </w:rPr>
              <w:t>字</w:t>
            </w:r>
            <w:r>
              <w:rPr>
                <w:rFonts w:hint="eastAsia" w:ascii="宋体" w:hAnsi="宋体" w:cs="宋体"/>
                <w:spacing w:val="2"/>
                <w:w w:val="102"/>
              </w:rPr>
              <w:t>、盖章</w:t>
            </w:r>
          </w:p>
          <w:p>
            <w:pPr>
              <w:pStyle w:val="42"/>
              <w:spacing w:before="120" w:line="249" w:lineRule="auto"/>
              <w:ind w:left="449" w:right="101" w:hanging="347"/>
              <w:jc w:val="left"/>
              <w:rPr>
                <w:rFonts w:ascii="宋体" w:hAnsi="宋体" w:cs="宋体"/>
              </w:rPr>
            </w:pPr>
          </w:p>
        </w:tc>
      </w:tr>
      <w:tr>
        <w:tblPrEx>
          <w:tblCellMar>
            <w:top w:w="0" w:type="dxa"/>
            <w:left w:w="0" w:type="dxa"/>
            <w:bottom w:w="0" w:type="dxa"/>
            <w:right w:w="0" w:type="dxa"/>
          </w:tblCellMar>
        </w:tblPrEx>
        <w:trPr>
          <w:trHeight w:val="745" w:hRule="exact"/>
        </w:trPr>
        <w:tc>
          <w:tcPr>
            <w:tcW w:w="813" w:type="dxa"/>
            <w:vMerge w:val="continue"/>
            <w:tcBorders>
              <w:left w:val="single" w:color="000000" w:sz="2" w:space="0"/>
              <w:bottom w:val="single" w:color="auto" w:sz="4" w:space="0"/>
              <w:right w:val="single" w:color="000000" w:sz="2" w:space="0"/>
            </w:tcBorders>
            <w:vAlign w:val="center"/>
          </w:tcPr>
          <w:p>
            <w:pPr>
              <w:jc w:val="center"/>
              <w:rPr>
                <w:rFonts w:ascii="宋体" w:hAnsi="宋体" w:cs="宋体"/>
              </w:rPr>
            </w:pPr>
          </w:p>
        </w:tc>
        <w:tc>
          <w:tcPr>
            <w:tcW w:w="1660" w:type="dxa"/>
            <w:vMerge w:val="continue"/>
            <w:tcBorders>
              <w:left w:val="single" w:color="000000" w:sz="2" w:space="0"/>
              <w:bottom w:val="single" w:color="auto" w:sz="4" w:space="0"/>
              <w:right w:val="single" w:color="000000" w:sz="2" w:space="0"/>
            </w:tcBorders>
            <w:vAlign w:val="center"/>
          </w:tcPr>
          <w:p>
            <w:pPr>
              <w:jc w:val="center"/>
              <w:rPr>
                <w:rFonts w:ascii="宋体" w:hAnsi="宋体" w:cs="宋体"/>
              </w:rPr>
            </w:pPr>
          </w:p>
        </w:tc>
        <w:tc>
          <w:tcPr>
            <w:tcW w:w="4959" w:type="dxa"/>
            <w:tcBorders>
              <w:top w:val="single" w:color="auto" w:sz="4" w:space="0"/>
              <w:left w:val="single" w:color="000000" w:sz="2" w:space="0"/>
              <w:bottom w:val="single" w:color="auto" w:sz="4" w:space="0"/>
              <w:right w:val="single" w:color="000000" w:sz="2" w:space="0"/>
            </w:tcBorders>
          </w:tcPr>
          <w:p>
            <w:pPr>
              <w:pStyle w:val="42"/>
              <w:spacing w:before="4"/>
              <w:jc w:val="left"/>
              <w:rPr>
                <w:rFonts w:ascii="宋体" w:hAnsi="宋体" w:cs="宋体"/>
              </w:rPr>
            </w:pPr>
          </w:p>
          <w:p>
            <w:pPr>
              <w:pStyle w:val="42"/>
              <w:ind w:left="6"/>
              <w:jc w:val="center"/>
              <w:rPr>
                <w:rFonts w:ascii="宋体" w:hAnsi="宋体" w:cs="宋体"/>
                <w:w w:val="102"/>
              </w:rPr>
            </w:pPr>
            <w:r>
              <w:rPr>
                <w:rFonts w:hint="eastAsia" w:ascii="宋体" w:hAnsi="宋体" w:cs="宋体"/>
                <w:w w:val="102"/>
              </w:rPr>
              <w:t>响应文件格式</w:t>
            </w:r>
          </w:p>
        </w:tc>
        <w:tc>
          <w:tcPr>
            <w:tcW w:w="2100" w:type="dxa"/>
            <w:tcBorders>
              <w:top w:val="single" w:color="auto" w:sz="4" w:space="0"/>
              <w:left w:val="single" w:color="000000" w:sz="2" w:space="0"/>
              <w:bottom w:val="single" w:color="auto" w:sz="4" w:space="0"/>
              <w:right w:val="single" w:color="000000" w:sz="2" w:space="0"/>
            </w:tcBorders>
          </w:tcPr>
          <w:p>
            <w:pPr>
              <w:pStyle w:val="42"/>
              <w:spacing w:before="120" w:line="249" w:lineRule="auto"/>
              <w:ind w:left="449" w:right="101" w:hanging="347"/>
              <w:jc w:val="left"/>
              <w:rPr>
                <w:rFonts w:ascii="宋体" w:hAnsi="宋体" w:cs="宋体"/>
                <w:spacing w:val="1"/>
                <w:w w:val="102"/>
              </w:rPr>
            </w:pPr>
            <w:r>
              <w:rPr>
                <w:rFonts w:hint="eastAsia" w:ascii="宋体" w:hAnsi="宋体" w:cs="宋体"/>
                <w:spacing w:val="1"/>
                <w:w w:val="102"/>
              </w:rPr>
              <w:t>符</w:t>
            </w:r>
            <w:r>
              <w:rPr>
                <w:rFonts w:hint="eastAsia" w:ascii="宋体" w:hAnsi="宋体" w:cs="宋体"/>
                <w:w w:val="102"/>
              </w:rPr>
              <w:t>合</w:t>
            </w:r>
            <w:r>
              <w:rPr>
                <w:rFonts w:hint="eastAsia" w:ascii="宋体" w:hAnsi="宋体" w:cs="宋体"/>
                <w:spacing w:val="1"/>
                <w:w w:val="102"/>
              </w:rPr>
              <w:t>“</w:t>
            </w:r>
            <w:r>
              <w:rPr>
                <w:rFonts w:hint="eastAsia" w:ascii="宋体" w:hAnsi="宋体" w:cs="宋体"/>
                <w:w w:val="102"/>
              </w:rPr>
              <w:t>响应文件格式”的要求</w:t>
            </w:r>
          </w:p>
        </w:tc>
      </w:tr>
      <w:tr>
        <w:tblPrEx>
          <w:tblCellMar>
            <w:top w:w="0" w:type="dxa"/>
            <w:left w:w="0" w:type="dxa"/>
            <w:bottom w:w="0" w:type="dxa"/>
            <w:right w:w="0" w:type="dxa"/>
          </w:tblCellMar>
        </w:tblPrEx>
        <w:trPr>
          <w:trHeight w:val="7407" w:hRule="exact"/>
        </w:trPr>
        <w:tc>
          <w:tcPr>
            <w:tcW w:w="813" w:type="dxa"/>
            <w:tcBorders>
              <w:top w:val="single" w:color="auto" w:sz="4" w:space="0"/>
              <w:left w:val="single" w:color="000000" w:sz="2" w:space="0"/>
              <w:right w:val="single" w:color="000000" w:sz="2" w:space="0"/>
            </w:tcBorders>
            <w:vAlign w:val="center"/>
          </w:tcPr>
          <w:p>
            <w:pPr>
              <w:pStyle w:val="42"/>
              <w:rPr>
                <w:rFonts w:ascii="宋体" w:hAnsi="宋体" w:cs="宋体"/>
              </w:rPr>
            </w:pPr>
            <w:r>
              <w:rPr>
                <w:rFonts w:hint="eastAsia" w:ascii="宋体" w:hAnsi="宋体" w:cs="宋体"/>
                <w:w w:val="102"/>
              </w:rPr>
              <w:t>2.1.2</w:t>
            </w:r>
          </w:p>
        </w:tc>
        <w:tc>
          <w:tcPr>
            <w:tcW w:w="1660" w:type="dxa"/>
            <w:tcBorders>
              <w:top w:val="single" w:color="auto" w:sz="4" w:space="0"/>
              <w:left w:val="single" w:color="000000" w:sz="2" w:space="0"/>
              <w:right w:val="single" w:color="auto" w:sz="4" w:space="0"/>
            </w:tcBorders>
            <w:vAlign w:val="center"/>
          </w:tcPr>
          <w:p>
            <w:pPr>
              <w:pStyle w:val="42"/>
              <w:rPr>
                <w:rFonts w:ascii="宋体" w:hAnsi="宋体" w:cs="宋体"/>
              </w:rPr>
            </w:pPr>
            <w:r>
              <w:rPr>
                <w:rFonts w:hint="eastAsia" w:ascii="宋体" w:hAnsi="宋体" w:cs="宋体"/>
                <w:spacing w:val="1"/>
                <w:w w:val="102"/>
              </w:rPr>
              <w:t>资格评审标准</w:t>
            </w:r>
          </w:p>
        </w:tc>
        <w:tc>
          <w:tcPr>
            <w:tcW w:w="4959" w:type="dxa"/>
            <w:tcBorders>
              <w:top w:val="single" w:color="auto" w:sz="4" w:space="0"/>
              <w:left w:val="single" w:color="auto" w:sz="4" w:space="0"/>
              <w:bottom w:val="single" w:color="000000" w:sz="2" w:space="0"/>
              <w:right w:val="single" w:color="000000" w:sz="2" w:space="0"/>
            </w:tcBorders>
          </w:tcPr>
          <w:p>
            <w:pPr>
              <w:pStyle w:val="42"/>
              <w:spacing w:before="82"/>
              <w:ind w:left="102"/>
              <w:jc w:val="left"/>
              <w:rPr>
                <w:rFonts w:ascii="宋体" w:hAnsi="宋体" w:cs="宋体"/>
                <w:w w:val="102"/>
                <w:position w:val="1"/>
              </w:rPr>
            </w:pPr>
            <w:r>
              <w:rPr>
                <w:rFonts w:hint="eastAsia" w:ascii="宋体" w:hAnsi="宋体" w:cs="宋体"/>
                <w:w w:val="102"/>
                <w:position w:val="1"/>
              </w:rPr>
              <w:t>1</w:t>
            </w:r>
            <w:r>
              <w:rPr>
                <w:rFonts w:hint="eastAsia" w:ascii="宋体" w:hAnsi="宋体" w:cs="宋体"/>
                <w:w w:val="102"/>
              </w:rPr>
              <w:t>）三证合一的营业执照副本；</w:t>
            </w:r>
          </w:p>
          <w:p>
            <w:pPr>
              <w:pStyle w:val="42"/>
              <w:spacing w:before="33"/>
              <w:ind w:left="102"/>
              <w:jc w:val="left"/>
              <w:rPr>
                <w:rFonts w:ascii="宋体" w:hAnsi="宋体" w:cs="宋体"/>
              </w:rPr>
            </w:pPr>
            <w:r>
              <w:rPr>
                <w:rFonts w:hint="eastAsia" w:ascii="宋体" w:hAnsi="宋体" w:cs="宋体"/>
                <w:w w:val="102"/>
                <w:position w:val="1"/>
              </w:rPr>
              <w:t>2</w:t>
            </w:r>
            <w:r>
              <w:rPr>
                <w:rFonts w:hint="eastAsia" w:ascii="宋体" w:hAnsi="宋体" w:cs="宋体"/>
                <w:spacing w:val="1"/>
                <w:w w:val="102"/>
              </w:rPr>
              <w:t>）</w:t>
            </w:r>
            <w:r>
              <w:rPr>
                <w:rFonts w:hint="eastAsia" w:ascii="宋体" w:hAnsi="宋体" w:cs="宋体"/>
                <w:w w:val="102"/>
              </w:rPr>
              <w:t>“</w:t>
            </w:r>
            <w:r>
              <w:rPr>
                <w:rFonts w:hint="eastAsia" w:ascii="宋体" w:hAnsi="宋体" w:cs="宋体"/>
                <w:spacing w:val="3"/>
                <w:w w:val="102"/>
              </w:rPr>
              <w:t>信用中</w:t>
            </w:r>
            <w:r>
              <w:rPr>
                <w:rFonts w:hint="eastAsia" w:ascii="宋体" w:hAnsi="宋体" w:cs="宋体"/>
                <w:w w:val="102"/>
              </w:rPr>
              <w:t>国</w:t>
            </w:r>
            <w:r>
              <w:rPr>
                <w:rFonts w:hint="eastAsia" w:ascii="宋体" w:hAnsi="宋体" w:cs="宋体"/>
                <w:spacing w:val="8"/>
                <w:w w:val="102"/>
              </w:rPr>
              <w:t>”</w:t>
            </w:r>
            <w:r>
              <w:rPr>
                <w:rFonts w:hint="eastAsia" w:ascii="宋体" w:hAnsi="宋体" w:cs="宋体"/>
                <w:spacing w:val="4"/>
                <w:w w:val="102"/>
              </w:rPr>
              <w:t>网站</w:t>
            </w:r>
            <w:r>
              <w:rPr>
                <w:rFonts w:hint="eastAsia" w:ascii="宋体" w:hAnsi="宋体" w:cs="宋体"/>
                <w:spacing w:val="-1"/>
                <w:w w:val="102"/>
              </w:rPr>
              <w:t>和</w:t>
            </w:r>
            <w:r>
              <w:rPr>
                <w:rFonts w:hint="eastAsia" w:ascii="宋体" w:hAnsi="宋体" w:cs="宋体"/>
                <w:spacing w:val="1"/>
                <w:w w:val="102"/>
              </w:rPr>
              <w:t>“</w:t>
            </w:r>
            <w:r>
              <w:rPr>
                <w:rFonts w:hint="eastAsia" w:ascii="宋体" w:hAnsi="宋体" w:cs="宋体"/>
                <w:spacing w:val="2"/>
                <w:w w:val="102"/>
              </w:rPr>
              <w:t>中国政府采购</w:t>
            </w:r>
            <w:r>
              <w:rPr>
                <w:rFonts w:hint="eastAsia" w:ascii="宋体" w:hAnsi="宋体" w:cs="宋体"/>
                <w:spacing w:val="1"/>
                <w:w w:val="102"/>
              </w:rPr>
              <w:t>网”</w:t>
            </w:r>
            <w:r>
              <w:rPr>
                <w:rFonts w:hint="eastAsia" w:ascii="宋体" w:hAnsi="宋体" w:cs="宋体"/>
                <w:spacing w:val="5"/>
                <w:w w:val="102"/>
              </w:rPr>
              <w:t>信用信息查询</w:t>
            </w:r>
            <w:r>
              <w:rPr>
                <w:rFonts w:hint="eastAsia" w:ascii="宋体" w:hAnsi="宋体" w:cs="宋体"/>
                <w:w w:val="102"/>
              </w:rPr>
              <w:t>页；</w:t>
            </w:r>
          </w:p>
          <w:p>
            <w:pPr>
              <w:pStyle w:val="42"/>
              <w:spacing w:before="35"/>
              <w:ind w:left="102"/>
              <w:jc w:val="left"/>
              <w:rPr>
                <w:rFonts w:ascii="宋体" w:hAnsi="宋体" w:cs="宋体"/>
              </w:rPr>
            </w:pPr>
            <w:r>
              <w:rPr>
                <w:rFonts w:hint="eastAsia" w:ascii="宋体" w:hAnsi="宋体" w:cs="宋体"/>
                <w:w w:val="102"/>
                <w:position w:val="1"/>
              </w:rPr>
              <w:t>3</w:t>
            </w:r>
            <w:r>
              <w:rPr>
                <w:rFonts w:hint="eastAsia" w:ascii="宋体" w:hAnsi="宋体" w:cs="宋体"/>
                <w:w w:val="102"/>
              </w:rPr>
              <w:t>）提供</w:t>
            </w:r>
            <w:r>
              <w:rPr>
                <w:rFonts w:hint="eastAsia" w:ascii="宋体" w:hAnsi="宋体" w:cs="宋体"/>
                <w:w w:val="102"/>
                <w:lang w:val="en-US" w:eastAsia="zh-CN"/>
              </w:rPr>
              <w:t>2020</w:t>
            </w:r>
            <w:r>
              <w:rPr>
                <w:rFonts w:hint="eastAsia" w:ascii="宋体" w:hAnsi="宋体" w:cs="宋体"/>
                <w:w w:val="102"/>
              </w:rPr>
              <w:t>年度</w:t>
            </w:r>
            <w:r>
              <w:rPr>
                <w:rFonts w:hint="eastAsia" w:ascii="宋体" w:hAnsi="宋体" w:cs="宋体"/>
                <w:w w:val="102"/>
                <w:lang w:eastAsia="zh-CN"/>
              </w:rPr>
              <w:t>或</w:t>
            </w:r>
            <w:r>
              <w:rPr>
                <w:rFonts w:hint="eastAsia" w:ascii="宋体" w:hAnsi="宋体" w:cs="宋体"/>
                <w:w w:val="102"/>
                <w:lang w:val="en-US" w:eastAsia="zh-CN"/>
              </w:rPr>
              <w:t>2021年度</w:t>
            </w:r>
            <w:r>
              <w:rPr>
                <w:rFonts w:hint="eastAsia" w:ascii="宋体" w:hAnsi="宋体" w:cs="宋体"/>
                <w:w w:val="102"/>
              </w:rPr>
              <w:t>财务审计报告；（企业成立不足</w:t>
            </w:r>
            <w:r>
              <w:rPr>
                <w:rFonts w:hint="eastAsia" w:ascii="宋体" w:hAnsi="宋体" w:cs="宋体"/>
                <w:w w:val="102"/>
                <w:lang w:eastAsia="zh-CN"/>
              </w:rPr>
              <w:t>一</w:t>
            </w:r>
            <w:r>
              <w:rPr>
                <w:rFonts w:hint="eastAsia" w:ascii="宋体" w:hAnsi="宋体" w:cs="宋体"/>
                <w:w w:val="102"/>
              </w:rPr>
              <w:t>年的，提供注册成立之日起</w:t>
            </w:r>
            <w:r>
              <w:rPr>
                <w:rFonts w:hint="eastAsia" w:ascii="宋体" w:hAnsi="宋体" w:cs="宋体"/>
                <w:w w:val="102"/>
                <w:lang w:eastAsia="zh-CN"/>
              </w:rPr>
              <w:t>财务报表</w:t>
            </w:r>
            <w:r>
              <w:rPr>
                <w:rFonts w:hint="eastAsia" w:ascii="宋体" w:hAnsi="宋体" w:cs="宋体"/>
                <w:w w:val="102"/>
              </w:rPr>
              <w:t>）；</w:t>
            </w:r>
          </w:p>
          <w:p>
            <w:pPr>
              <w:pStyle w:val="42"/>
              <w:spacing w:before="34"/>
              <w:ind w:left="102"/>
              <w:jc w:val="left"/>
              <w:rPr>
                <w:rFonts w:ascii="宋体" w:hAnsi="宋体" w:cs="宋体"/>
              </w:rPr>
            </w:pPr>
            <w:r>
              <w:rPr>
                <w:rFonts w:hint="eastAsia" w:ascii="宋体" w:hAnsi="宋体" w:cs="宋体"/>
                <w:w w:val="102"/>
                <w:position w:val="1"/>
              </w:rPr>
              <w:t>4</w:t>
            </w:r>
            <w:r>
              <w:rPr>
                <w:rFonts w:hint="eastAsia" w:ascii="宋体" w:hAnsi="宋体" w:cs="宋体"/>
                <w:spacing w:val="-44"/>
                <w:w w:val="102"/>
              </w:rPr>
              <w:t>）</w:t>
            </w:r>
            <w:r>
              <w:rPr>
                <w:rFonts w:hint="eastAsia" w:ascii="宋体" w:hAnsi="宋体" w:cs="宋体"/>
                <w:w w:val="102"/>
              </w:rPr>
              <w:t>提供</w:t>
            </w:r>
            <w:r>
              <w:rPr>
                <w:rFonts w:hint="eastAsia" w:ascii="宋体" w:hAnsi="宋体" w:cs="宋体"/>
                <w:spacing w:val="-1"/>
                <w:w w:val="102"/>
                <w:position w:val="1"/>
              </w:rPr>
              <w:t>202</w:t>
            </w:r>
            <w:r>
              <w:rPr>
                <w:rFonts w:hint="eastAsia" w:ascii="宋体" w:hAnsi="宋体" w:cs="宋体"/>
                <w:spacing w:val="-1"/>
                <w:w w:val="102"/>
                <w:position w:val="1"/>
                <w:lang w:val="en-US" w:eastAsia="zh-CN"/>
              </w:rPr>
              <w:t>2</w:t>
            </w:r>
            <w:r>
              <w:rPr>
                <w:rFonts w:hint="eastAsia" w:ascii="宋体" w:hAnsi="宋体" w:cs="宋体"/>
                <w:w w:val="102"/>
              </w:rPr>
              <w:t>年</w:t>
            </w:r>
            <w:r>
              <w:rPr>
                <w:rFonts w:hint="eastAsia" w:ascii="宋体" w:hAnsi="宋体" w:cs="宋体"/>
                <w:w w:val="102"/>
                <w:position w:val="1"/>
                <w:lang w:val="en-US" w:eastAsia="zh-CN"/>
              </w:rPr>
              <w:t>1</w:t>
            </w:r>
            <w:r>
              <w:rPr>
                <w:rFonts w:hint="eastAsia" w:ascii="宋体" w:hAnsi="宋体" w:cs="宋体"/>
                <w:w w:val="102"/>
              </w:rPr>
              <w:t>月</w:t>
            </w:r>
            <w:r>
              <w:rPr>
                <w:rFonts w:hint="eastAsia" w:ascii="宋体" w:hAnsi="宋体" w:cs="宋体"/>
                <w:w w:val="102"/>
                <w:position w:val="1"/>
              </w:rPr>
              <w:t>1</w:t>
            </w:r>
            <w:r>
              <w:rPr>
                <w:rFonts w:hint="eastAsia" w:ascii="宋体" w:hAnsi="宋体" w:cs="宋体"/>
                <w:w w:val="102"/>
              </w:rPr>
              <w:t>日以来任意1个月养老保险缴纳</w:t>
            </w:r>
            <w:r>
              <w:rPr>
                <w:rFonts w:hint="eastAsia" w:ascii="宋体" w:hAnsi="宋体" w:cs="宋体"/>
                <w:spacing w:val="-1"/>
                <w:w w:val="102"/>
              </w:rPr>
              <w:t>证明；</w:t>
            </w:r>
          </w:p>
          <w:p>
            <w:pPr>
              <w:pStyle w:val="42"/>
              <w:spacing w:before="35"/>
              <w:ind w:left="102"/>
              <w:jc w:val="left"/>
              <w:rPr>
                <w:rFonts w:ascii="宋体" w:hAnsi="宋体" w:cs="宋体"/>
              </w:rPr>
            </w:pPr>
            <w:r>
              <w:rPr>
                <w:rFonts w:hint="eastAsia" w:ascii="宋体" w:hAnsi="宋体" w:cs="宋体"/>
                <w:w w:val="102"/>
                <w:position w:val="1"/>
              </w:rPr>
              <w:t>5</w:t>
            </w:r>
            <w:r>
              <w:rPr>
                <w:rFonts w:hint="eastAsia" w:ascii="宋体" w:hAnsi="宋体" w:cs="宋体"/>
                <w:spacing w:val="-22"/>
                <w:w w:val="102"/>
              </w:rPr>
              <w:t>）</w:t>
            </w:r>
            <w:r>
              <w:rPr>
                <w:rFonts w:hint="eastAsia" w:ascii="宋体" w:hAnsi="宋体" w:cs="宋体"/>
                <w:spacing w:val="1"/>
                <w:w w:val="102"/>
              </w:rPr>
              <w:t>提</w:t>
            </w:r>
            <w:r>
              <w:rPr>
                <w:rFonts w:hint="eastAsia" w:ascii="宋体" w:hAnsi="宋体" w:cs="宋体"/>
                <w:w w:val="102"/>
              </w:rPr>
              <w:t>供</w:t>
            </w:r>
            <w:r>
              <w:rPr>
                <w:rFonts w:hint="eastAsia" w:ascii="宋体" w:hAnsi="宋体" w:cs="宋体"/>
                <w:w w:val="102"/>
                <w:position w:val="1"/>
              </w:rPr>
              <w:t>202</w:t>
            </w:r>
            <w:r>
              <w:rPr>
                <w:rFonts w:hint="eastAsia" w:ascii="宋体" w:hAnsi="宋体" w:cs="宋体"/>
                <w:w w:val="102"/>
                <w:position w:val="1"/>
                <w:lang w:val="en-US" w:eastAsia="zh-CN"/>
              </w:rPr>
              <w:t>2</w:t>
            </w:r>
            <w:r>
              <w:rPr>
                <w:rFonts w:hint="eastAsia" w:ascii="宋体" w:hAnsi="宋体" w:cs="宋体"/>
                <w:w w:val="102"/>
              </w:rPr>
              <w:t>年</w:t>
            </w:r>
            <w:r>
              <w:rPr>
                <w:rFonts w:hint="eastAsia" w:ascii="宋体" w:hAnsi="宋体" w:cs="宋体"/>
                <w:spacing w:val="-48"/>
                <w:lang w:val="en-US" w:eastAsia="zh-CN"/>
              </w:rPr>
              <w:t>1</w:t>
            </w:r>
            <w:r>
              <w:rPr>
                <w:rFonts w:hint="eastAsia" w:ascii="宋体" w:hAnsi="宋体" w:cs="宋体"/>
                <w:w w:val="102"/>
              </w:rPr>
              <w:t>月</w:t>
            </w:r>
            <w:r>
              <w:rPr>
                <w:rFonts w:hint="eastAsia" w:ascii="宋体" w:hAnsi="宋体" w:cs="宋体"/>
                <w:w w:val="102"/>
                <w:position w:val="1"/>
              </w:rPr>
              <w:t>1</w:t>
            </w:r>
            <w:r>
              <w:rPr>
                <w:rFonts w:hint="eastAsia" w:ascii="宋体" w:hAnsi="宋体" w:cs="宋体"/>
                <w:spacing w:val="-2"/>
                <w:w w:val="102"/>
              </w:rPr>
              <w:t>日以来任意1个月份税收缴纳证明（</w:t>
            </w:r>
            <w:r>
              <w:rPr>
                <w:rFonts w:hint="eastAsia" w:ascii="宋体" w:hAnsi="宋体" w:cs="宋体"/>
                <w:spacing w:val="4"/>
                <w:w w:val="102"/>
              </w:rPr>
              <w:t>完</w:t>
            </w:r>
            <w:r>
              <w:rPr>
                <w:rFonts w:hint="eastAsia" w:ascii="宋体" w:hAnsi="宋体" w:cs="宋体"/>
                <w:w w:val="102"/>
              </w:rPr>
              <w:t>税证明）；</w:t>
            </w:r>
          </w:p>
          <w:p>
            <w:pPr>
              <w:pStyle w:val="42"/>
              <w:spacing w:before="39"/>
              <w:ind w:left="102"/>
              <w:jc w:val="left"/>
              <w:rPr>
                <w:rFonts w:ascii="宋体" w:hAnsi="宋体" w:cs="宋体"/>
              </w:rPr>
            </w:pPr>
            <w:r>
              <w:rPr>
                <w:rFonts w:hint="eastAsia" w:ascii="宋体" w:hAnsi="宋体" w:cs="宋体"/>
                <w:w w:val="102"/>
                <w:position w:val="1"/>
              </w:rPr>
              <w:t>6</w:t>
            </w:r>
            <w:r>
              <w:rPr>
                <w:rFonts w:hint="eastAsia" w:ascii="宋体" w:hAnsi="宋体" w:cs="宋体"/>
                <w:w w:val="102"/>
              </w:rPr>
              <w:t>）提供与本项目相关的设备购置发票或租赁协议；</w:t>
            </w:r>
          </w:p>
          <w:p>
            <w:pPr>
              <w:pStyle w:val="42"/>
              <w:spacing w:line="253" w:lineRule="exact"/>
              <w:ind w:left="102"/>
              <w:jc w:val="left"/>
              <w:rPr>
                <w:rFonts w:hint="eastAsia" w:ascii="宋体" w:hAnsi="宋体" w:cs="宋体"/>
                <w:w w:val="102"/>
              </w:rPr>
            </w:pPr>
            <w:r>
              <w:rPr>
                <w:rFonts w:hint="eastAsia" w:ascii="宋体" w:hAnsi="宋体" w:cs="宋体"/>
                <w:w w:val="102"/>
                <w:position w:val="1"/>
              </w:rPr>
              <w:t>7</w:t>
            </w:r>
            <w:r>
              <w:rPr>
                <w:rFonts w:hint="eastAsia" w:ascii="宋体" w:hAnsi="宋体" w:cs="宋体"/>
                <w:w w:val="102"/>
              </w:rPr>
              <w:t>）参加政府采购活动前三年内，在经营活动中没有重大违法记录的声明；</w:t>
            </w:r>
          </w:p>
          <w:p>
            <w:pPr>
              <w:pStyle w:val="11"/>
              <w:spacing w:line="360" w:lineRule="auto"/>
              <w:rPr>
                <w:rFonts w:hint="default" w:ascii="宋体" w:hAnsi="宋体" w:eastAsia="宋体" w:cs="宋体"/>
                <w:w w:val="102"/>
                <w:lang w:val="en-US" w:eastAsia="zh-CN"/>
              </w:rPr>
            </w:pPr>
            <w:r>
              <w:rPr>
                <w:rFonts w:hint="eastAsia" w:ascii="宋体" w:hAnsi="宋体" w:eastAsia="宋体" w:cs="宋体"/>
                <w:w w:val="102"/>
                <w:kern w:val="2"/>
                <w:sz w:val="24"/>
                <w:szCs w:val="24"/>
                <w:lang w:val="en-US" w:eastAsia="zh-CN" w:bidi="ar-SA"/>
              </w:rPr>
              <w:t>8）根据《河南省社会信用条例》睢县发展和改革委员会和睢县社会信用体系建设领导小组</w:t>
            </w:r>
            <w:r>
              <w:rPr>
                <w:rFonts w:hint="eastAsia" w:ascii="宋体" w:hAnsi="宋体" w:eastAsia="宋体" w:cs="宋体"/>
                <w:i w:val="0"/>
                <w:iCs w:val="0"/>
                <w:caps w:val="0"/>
                <w:color w:val="000000"/>
                <w:spacing w:val="0"/>
                <w:sz w:val="24"/>
                <w:szCs w:val="24"/>
                <w:shd w:val="clear" w:fill="FFFFFF"/>
              </w:rPr>
              <w:t>办公室部门及相关文件要求，招标过程中需提供企业近期的《企业信用核查报告》，未提供造成的任何后果投标人自行承担。（详见睢县公共资源交易中心公告）</w:t>
            </w:r>
          </w:p>
        </w:tc>
        <w:tc>
          <w:tcPr>
            <w:tcW w:w="2100" w:type="dxa"/>
            <w:tcBorders>
              <w:top w:val="single" w:color="auto" w:sz="4" w:space="0"/>
              <w:left w:val="single" w:color="000000" w:sz="2" w:space="0"/>
              <w:bottom w:val="single" w:color="auto" w:sz="4" w:space="0"/>
              <w:right w:val="single" w:color="000000" w:sz="2" w:space="0"/>
            </w:tcBorders>
          </w:tcPr>
          <w:p>
            <w:pPr>
              <w:pStyle w:val="42"/>
              <w:jc w:val="left"/>
              <w:rPr>
                <w:rFonts w:ascii="宋体" w:hAnsi="宋体" w:cs="宋体"/>
              </w:rPr>
            </w:pPr>
          </w:p>
          <w:p>
            <w:pPr>
              <w:pStyle w:val="42"/>
              <w:jc w:val="left"/>
              <w:rPr>
                <w:rFonts w:ascii="宋体" w:hAnsi="宋体" w:cs="宋体"/>
              </w:rPr>
            </w:pPr>
          </w:p>
          <w:p>
            <w:pPr>
              <w:pStyle w:val="42"/>
              <w:jc w:val="left"/>
              <w:rPr>
                <w:rFonts w:ascii="宋体" w:hAnsi="宋体" w:cs="宋体"/>
              </w:rPr>
            </w:pPr>
          </w:p>
          <w:p>
            <w:pPr>
              <w:pStyle w:val="42"/>
              <w:jc w:val="left"/>
              <w:rPr>
                <w:rFonts w:ascii="宋体" w:hAnsi="宋体" w:cs="宋体"/>
              </w:rPr>
            </w:pPr>
          </w:p>
          <w:p>
            <w:pPr>
              <w:pStyle w:val="42"/>
              <w:jc w:val="left"/>
              <w:rPr>
                <w:rFonts w:ascii="宋体" w:hAnsi="宋体" w:cs="宋体"/>
              </w:rPr>
            </w:pPr>
          </w:p>
          <w:p>
            <w:pPr>
              <w:pStyle w:val="42"/>
              <w:spacing w:before="13"/>
              <w:jc w:val="left"/>
              <w:rPr>
                <w:rFonts w:ascii="宋体" w:hAnsi="宋体" w:cs="宋体"/>
              </w:rPr>
            </w:pPr>
          </w:p>
          <w:p>
            <w:pPr>
              <w:pStyle w:val="42"/>
              <w:ind w:left="139"/>
              <w:jc w:val="left"/>
              <w:rPr>
                <w:rFonts w:ascii="宋体" w:hAnsi="宋体" w:cs="宋体"/>
                <w:w w:val="102"/>
              </w:rPr>
            </w:pPr>
            <w:r>
              <w:rPr>
                <w:rFonts w:hint="eastAsia" w:ascii="宋体" w:hAnsi="宋体" w:cs="宋体"/>
                <w:w w:val="102"/>
              </w:rPr>
              <w:t>不符合采购文件要</w:t>
            </w:r>
          </w:p>
          <w:p>
            <w:pPr>
              <w:pStyle w:val="42"/>
              <w:spacing w:line="238" w:lineRule="exact"/>
              <w:ind w:firstLine="244" w:firstLineChars="100"/>
              <w:jc w:val="left"/>
              <w:rPr>
                <w:rFonts w:hint="eastAsia" w:ascii="宋体" w:hAnsi="宋体" w:eastAsia="宋体" w:cs="宋体"/>
                <w:lang w:eastAsia="zh-CN"/>
              </w:rPr>
            </w:pPr>
            <w:r>
              <w:rPr>
                <w:rFonts w:hint="eastAsia" w:ascii="宋体" w:hAnsi="宋体" w:cs="宋体"/>
                <w:w w:val="102"/>
              </w:rPr>
              <w:t>求的不予通过</w:t>
            </w:r>
            <w:r>
              <w:rPr>
                <w:rFonts w:hint="eastAsia" w:ascii="宋体" w:hAnsi="宋体" w:cs="宋体"/>
                <w:w w:val="102"/>
                <w:lang w:eastAsia="zh-CN"/>
              </w:rPr>
              <w:t>（资格要求资料不需要提交原件，投标文件中提供原件扫描件）</w:t>
            </w:r>
          </w:p>
        </w:tc>
      </w:tr>
      <w:tr>
        <w:tblPrEx>
          <w:tblCellMar>
            <w:top w:w="0" w:type="dxa"/>
            <w:left w:w="0" w:type="dxa"/>
            <w:bottom w:w="0" w:type="dxa"/>
            <w:right w:w="0" w:type="dxa"/>
          </w:tblCellMar>
        </w:tblPrEx>
        <w:trPr>
          <w:trHeight w:val="747" w:hRule="exact"/>
        </w:trPr>
        <w:tc>
          <w:tcPr>
            <w:tcW w:w="813" w:type="dxa"/>
            <w:vMerge w:val="restart"/>
            <w:tcBorders>
              <w:top w:val="single" w:color="auto" w:sz="4" w:space="0"/>
              <w:left w:val="single" w:color="auto" w:sz="4" w:space="0"/>
              <w:bottom w:val="single" w:color="auto" w:sz="4" w:space="0"/>
              <w:right w:val="single" w:color="000000" w:sz="2" w:space="0"/>
            </w:tcBorders>
            <w:vAlign w:val="center"/>
          </w:tcPr>
          <w:p>
            <w:pPr>
              <w:pStyle w:val="42"/>
              <w:spacing w:before="153"/>
              <w:rPr>
                <w:rFonts w:ascii="宋体" w:hAnsi="宋体" w:cs="宋体"/>
              </w:rPr>
            </w:pPr>
            <w:r>
              <w:rPr>
                <w:rFonts w:hint="eastAsia" w:ascii="宋体" w:hAnsi="宋体" w:cs="宋体"/>
                <w:w w:val="105"/>
              </w:rPr>
              <w:t>2.1.3</w:t>
            </w:r>
          </w:p>
        </w:tc>
        <w:tc>
          <w:tcPr>
            <w:tcW w:w="1660" w:type="dxa"/>
            <w:vMerge w:val="restart"/>
            <w:tcBorders>
              <w:top w:val="single" w:color="auto" w:sz="4" w:space="0"/>
              <w:left w:val="single" w:color="000000" w:sz="2" w:space="0"/>
              <w:bottom w:val="single" w:color="auto" w:sz="4" w:space="0"/>
              <w:right w:val="single" w:color="auto" w:sz="4" w:space="0"/>
            </w:tcBorders>
            <w:vAlign w:val="center"/>
          </w:tcPr>
          <w:p>
            <w:pPr>
              <w:pStyle w:val="42"/>
              <w:spacing w:line="249" w:lineRule="auto"/>
              <w:ind w:right="128"/>
              <w:rPr>
                <w:rFonts w:ascii="宋体" w:hAnsi="宋体" w:cs="宋体"/>
              </w:rPr>
            </w:pPr>
            <w:r>
              <w:rPr>
                <w:rFonts w:hint="eastAsia" w:ascii="宋体" w:hAnsi="宋体" w:cs="宋体"/>
                <w:w w:val="105"/>
              </w:rPr>
              <w:t>响应评审标准</w:t>
            </w:r>
          </w:p>
        </w:tc>
        <w:tc>
          <w:tcPr>
            <w:tcW w:w="4959" w:type="dxa"/>
            <w:tcBorders>
              <w:top w:val="single" w:color="000000" w:sz="2" w:space="0"/>
              <w:left w:val="single" w:color="auto" w:sz="4" w:space="0"/>
              <w:bottom w:val="single" w:color="000000" w:sz="2" w:space="0"/>
              <w:right w:val="single" w:color="000000" w:sz="2" w:space="0"/>
            </w:tcBorders>
          </w:tcPr>
          <w:p>
            <w:pPr>
              <w:pStyle w:val="42"/>
              <w:spacing w:before="10"/>
              <w:jc w:val="left"/>
              <w:rPr>
                <w:rFonts w:ascii="宋体" w:hAnsi="宋体" w:cs="宋体"/>
                <w:highlight w:val="red"/>
              </w:rPr>
            </w:pPr>
          </w:p>
          <w:p>
            <w:pPr>
              <w:pStyle w:val="42"/>
              <w:ind w:left="7"/>
              <w:jc w:val="center"/>
              <w:rPr>
                <w:rFonts w:ascii="宋体" w:hAnsi="宋体" w:cs="宋体"/>
              </w:rPr>
            </w:pPr>
            <w:r>
              <w:rPr>
                <w:rFonts w:hint="eastAsia" w:ascii="宋体" w:hAnsi="宋体" w:cs="宋体"/>
                <w:w w:val="105"/>
              </w:rPr>
              <w:t>交货期及质保期</w:t>
            </w:r>
          </w:p>
        </w:tc>
        <w:tc>
          <w:tcPr>
            <w:tcW w:w="2100" w:type="dxa"/>
            <w:tcBorders>
              <w:top w:val="single" w:color="auto" w:sz="4" w:space="0"/>
              <w:left w:val="single" w:color="000000" w:sz="2" w:space="0"/>
              <w:bottom w:val="single" w:color="000000" w:sz="2" w:space="0"/>
              <w:right w:val="single" w:color="000000" w:sz="2" w:space="0"/>
            </w:tcBorders>
          </w:tcPr>
          <w:p>
            <w:pPr>
              <w:pStyle w:val="42"/>
              <w:spacing w:before="60" w:line="249" w:lineRule="auto"/>
              <w:ind w:left="861" w:right="138" w:hanging="722"/>
              <w:jc w:val="left"/>
              <w:rPr>
                <w:rFonts w:ascii="宋体" w:hAnsi="宋体" w:cs="宋体"/>
              </w:rPr>
            </w:pPr>
            <w:r>
              <w:rPr>
                <w:rFonts w:hint="eastAsia" w:ascii="宋体" w:hAnsi="宋体" w:cs="宋体"/>
              </w:rPr>
              <w:t>符合采购文件的要</w:t>
            </w:r>
            <w:r>
              <w:rPr>
                <w:rFonts w:hint="eastAsia" w:ascii="宋体" w:hAnsi="宋体" w:cs="宋体"/>
                <w:w w:val="105"/>
              </w:rPr>
              <w:t>求</w:t>
            </w:r>
          </w:p>
        </w:tc>
      </w:tr>
      <w:tr>
        <w:tblPrEx>
          <w:tblCellMar>
            <w:top w:w="0" w:type="dxa"/>
            <w:left w:w="0" w:type="dxa"/>
            <w:bottom w:w="0" w:type="dxa"/>
            <w:right w:w="0" w:type="dxa"/>
          </w:tblCellMar>
        </w:tblPrEx>
        <w:trPr>
          <w:trHeight w:val="692" w:hRule="exact"/>
        </w:trPr>
        <w:tc>
          <w:tcPr>
            <w:tcW w:w="813" w:type="dxa"/>
            <w:vMerge w:val="continue"/>
            <w:tcBorders>
              <w:top w:val="single" w:color="auto" w:sz="4" w:space="0"/>
              <w:left w:val="single" w:color="auto" w:sz="4" w:space="0"/>
              <w:bottom w:val="single" w:color="auto" w:sz="4" w:space="0"/>
              <w:right w:val="single" w:color="000000" w:sz="2" w:space="0"/>
            </w:tcBorders>
          </w:tcPr>
          <w:p>
            <w:pPr>
              <w:rPr>
                <w:rFonts w:ascii="宋体" w:hAnsi="宋体" w:cs="宋体"/>
              </w:rPr>
            </w:pPr>
          </w:p>
        </w:tc>
        <w:tc>
          <w:tcPr>
            <w:tcW w:w="1660" w:type="dxa"/>
            <w:vMerge w:val="continue"/>
            <w:tcBorders>
              <w:top w:val="single" w:color="auto" w:sz="4" w:space="0"/>
              <w:left w:val="single" w:color="000000" w:sz="2" w:space="0"/>
              <w:bottom w:val="single" w:color="auto" w:sz="4" w:space="0"/>
              <w:right w:val="single" w:color="auto" w:sz="4" w:space="0"/>
            </w:tcBorders>
          </w:tcPr>
          <w:p>
            <w:pPr>
              <w:rPr>
                <w:rFonts w:ascii="宋体" w:hAnsi="宋体" w:cs="宋体"/>
              </w:rPr>
            </w:pPr>
          </w:p>
        </w:tc>
        <w:tc>
          <w:tcPr>
            <w:tcW w:w="4959" w:type="dxa"/>
            <w:tcBorders>
              <w:top w:val="single" w:color="000000" w:sz="2" w:space="0"/>
              <w:left w:val="single" w:color="auto" w:sz="4" w:space="0"/>
              <w:bottom w:val="single" w:color="000000" w:sz="2" w:space="0"/>
              <w:right w:val="single" w:color="000000" w:sz="2" w:space="0"/>
            </w:tcBorders>
          </w:tcPr>
          <w:p>
            <w:pPr>
              <w:pStyle w:val="42"/>
              <w:spacing w:before="10"/>
              <w:jc w:val="left"/>
              <w:rPr>
                <w:rFonts w:ascii="宋体" w:hAnsi="宋体" w:cs="宋体"/>
              </w:rPr>
            </w:pPr>
          </w:p>
          <w:p>
            <w:pPr>
              <w:pStyle w:val="42"/>
              <w:ind w:left="9"/>
              <w:jc w:val="center"/>
              <w:rPr>
                <w:rFonts w:ascii="宋体" w:hAnsi="宋体" w:cs="宋体"/>
              </w:rPr>
            </w:pPr>
            <w:r>
              <w:rPr>
                <w:rFonts w:hint="eastAsia" w:ascii="宋体" w:hAnsi="宋体" w:cs="宋体"/>
                <w:w w:val="105"/>
              </w:rPr>
              <w:t>质量要求</w:t>
            </w:r>
          </w:p>
        </w:tc>
        <w:tc>
          <w:tcPr>
            <w:tcW w:w="2100" w:type="dxa"/>
            <w:tcBorders>
              <w:top w:val="single" w:color="000000" w:sz="2" w:space="0"/>
              <w:left w:val="single" w:color="000000" w:sz="2" w:space="0"/>
              <w:bottom w:val="single" w:color="000000" w:sz="2" w:space="0"/>
              <w:right w:val="single" w:color="000000" w:sz="2" w:space="0"/>
            </w:tcBorders>
          </w:tcPr>
          <w:p>
            <w:pPr>
              <w:pStyle w:val="42"/>
              <w:spacing w:before="53" w:line="256" w:lineRule="auto"/>
              <w:ind w:left="861" w:right="138" w:hanging="722"/>
              <w:jc w:val="left"/>
              <w:rPr>
                <w:rFonts w:ascii="宋体" w:hAnsi="宋体" w:cs="宋体"/>
              </w:rPr>
            </w:pPr>
            <w:r>
              <w:rPr>
                <w:rFonts w:hint="eastAsia" w:ascii="宋体" w:hAnsi="宋体" w:cs="宋体"/>
              </w:rPr>
              <w:t>符合采购文件的要</w:t>
            </w:r>
            <w:r>
              <w:rPr>
                <w:rFonts w:hint="eastAsia" w:ascii="宋体" w:hAnsi="宋体" w:cs="宋体"/>
                <w:w w:val="105"/>
              </w:rPr>
              <w:t>求</w:t>
            </w:r>
          </w:p>
        </w:tc>
      </w:tr>
      <w:tr>
        <w:tblPrEx>
          <w:tblCellMar>
            <w:top w:w="0" w:type="dxa"/>
            <w:left w:w="0" w:type="dxa"/>
            <w:bottom w:w="0" w:type="dxa"/>
            <w:right w:w="0" w:type="dxa"/>
          </w:tblCellMar>
        </w:tblPrEx>
        <w:trPr>
          <w:trHeight w:val="781" w:hRule="exact"/>
        </w:trPr>
        <w:tc>
          <w:tcPr>
            <w:tcW w:w="813" w:type="dxa"/>
            <w:vMerge w:val="continue"/>
            <w:tcBorders>
              <w:top w:val="single" w:color="auto" w:sz="4" w:space="0"/>
              <w:left w:val="single" w:color="auto" w:sz="4" w:space="0"/>
              <w:bottom w:val="single" w:color="auto" w:sz="4" w:space="0"/>
              <w:right w:val="single" w:color="000000" w:sz="2" w:space="0"/>
            </w:tcBorders>
          </w:tcPr>
          <w:p>
            <w:pPr>
              <w:rPr>
                <w:rFonts w:ascii="宋体" w:hAnsi="宋体" w:cs="宋体"/>
              </w:rPr>
            </w:pPr>
          </w:p>
        </w:tc>
        <w:tc>
          <w:tcPr>
            <w:tcW w:w="1660" w:type="dxa"/>
            <w:vMerge w:val="continue"/>
            <w:tcBorders>
              <w:top w:val="single" w:color="auto" w:sz="4" w:space="0"/>
              <w:left w:val="single" w:color="000000" w:sz="2" w:space="0"/>
              <w:bottom w:val="single" w:color="auto" w:sz="4" w:space="0"/>
              <w:right w:val="single" w:color="auto" w:sz="4" w:space="0"/>
            </w:tcBorders>
          </w:tcPr>
          <w:p>
            <w:pPr>
              <w:rPr>
                <w:rFonts w:ascii="宋体" w:hAnsi="宋体" w:cs="宋体"/>
              </w:rPr>
            </w:pPr>
          </w:p>
        </w:tc>
        <w:tc>
          <w:tcPr>
            <w:tcW w:w="4959" w:type="dxa"/>
            <w:tcBorders>
              <w:top w:val="single" w:color="000000" w:sz="2" w:space="0"/>
              <w:left w:val="single" w:color="auto" w:sz="4" w:space="0"/>
              <w:bottom w:val="single" w:color="000000" w:sz="2" w:space="0"/>
              <w:right w:val="single" w:color="000000" w:sz="2" w:space="0"/>
            </w:tcBorders>
          </w:tcPr>
          <w:p>
            <w:pPr>
              <w:pStyle w:val="42"/>
              <w:spacing w:before="11"/>
              <w:jc w:val="left"/>
              <w:rPr>
                <w:rFonts w:ascii="宋体" w:hAnsi="宋体" w:cs="宋体"/>
              </w:rPr>
            </w:pPr>
          </w:p>
          <w:p>
            <w:pPr>
              <w:pStyle w:val="42"/>
              <w:ind w:left="7"/>
              <w:jc w:val="center"/>
              <w:rPr>
                <w:rFonts w:ascii="宋体" w:hAnsi="宋体" w:cs="宋体"/>
              </w:rPr>
            </w:pPr>
            <w:r>
              <w:rPr>
                <w:rFonts w:hint="eastAsia" w:ascii="宋体" w:hAnsi="宋体" w:cs="宋体"/>
                <w:w w:val="105"/>
              </w:rPr>
              <w:t>投标有效期</w:t>
            </w:r>
          </w:p>
        </w:tc>
        <w:tc>
          <w:tcPr>
            <w:tcW w:w="2100" w:type="dxa"/>
            <w:tcBorders>
              <w:top w:val="single" w:color="000000" w:sz="2" w:space="0"/>
              <w:left w:val="single" w:color="000000" w:sz="2" w:space="0"/>
              <w:bottom w:val="single" w:color="000000" w:sz="2" w:space="0"/>
              <w:right w:val="single" w:color="000000" w:sz="2" w:space="0"/>
            </w:tcBorders>
          </w:tcPr>
          <w:p>
            <w:pPr>
              <w:pStyle w:val="42"/>
              <w:spacing w:before="67" w:line="249" w:lineRule="auto"/>
              <w:ind w:left="861" w:right="138" w:hanging="722"/>
              <w:jc w:val="left"/>
              <w:rPr>
                <w:rFonts w:ascii="宋体" w:hAnsi="宋体" w:cs="宋体"/>
              </w:rPr>
            </w:pPr>
            <w:r>
              <w:rPr>
                <w:rFonts w:hint="eastAsia" w:ascii="宋体" w:hAnsi="宋体" w:cs="宋体"/>
              </w:rPr>
              <w:t>符合采购文件的要</w:t>
            </w:r>
            <w:r>
              <w:rPr>
                <w:rFonts w:hint="eastAsia" w:ascii="宋体" w:hAnsi="宋体" w:cs="宋体"/>
                <w:w w:val="105"/>
              </w:rPr>
              <w:t>求</w:t>
            </w:r>
          </w:p>
        </w:tc>
      </w:tr>
    </w:tbl>
    <w:p>
      <w:pPr>
        <w:spacing w:before="48" w:line="311" w:lineRule="exact"/>
        <w:ind w:left="17"/>
        <w:jc w:val="center"/>
        <w:rPr>
          <w:rFonts w:hint="eastAsia" w:ascii="宋体" w:hAnsi="宋体" w:eastAsia="宋体" w:cs="宋体"/>
          <w:b/>
          <w:bCs/>
          <w:spacing w:val="8"/>
          <w:sz w:val="36"/>
          <w:szCs w:val="36"/>
          <w:lang w:eastAsia="zh-CN"/>
        </w:rPr>
      </w:pPr>
    </w:p>
    <w:p>
      <w:pPr>
        <w:spacing w:before="48" w:line="311" w:lineRule="exact"/>
        <w:ind w:left="17"/>
        <w:jc w:val="center"/>
        <w:rPr>
          <w:rFonts w:hint="eastAsia" w:ascii="宋体" w:hAnsi="宋体" w:eastAsia="宋体" w:cs="宋体"/>
          <w:spacing w:val="8"/>
          <w:sz w:val="21"/>
          <w:szCs w:val="21"/>
          <w:lang w:eastAsia="zh-CN"/>
        </w:rPr>
      </w:pPr>
      <w:r>
        <w:rPr>
          <w:rFonts w:hint="eastAsia" w:ascii="宋体" w:hAnsi="宋体" w:eastAsia="宋体" w:cs="宋体"/>
          <w:b/>
          <w:bCs/>
          <w:spacing w:val="8"/>
          <w:sz w:val="36"/>
          <w:szCs w:val="36"/>
          <w:lang w:eastAsia="zh-CN"/>
        </w:rPr>
        <w:t>评标办法</w:t>
      </w:r>
    </w:p>
    <w:tbl>
      <w:tblPr>
        <w:tblStyle w:val="2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350"/>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评分因素</w:t>
            </w:r>
          </w:p>
        </w:tc>
        <w:tc>
          <w:tcPr>
            <w:tcW w:w="638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分值构成</w:t>
            </w:r>
          </w:p>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(总分100分)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报价部分：30分；</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技术部分：30分；</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商务部分：40分；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1、报价部分</w:t>
            </w:r>
            <w:r>
              <w:rPr>
                <w:rFonts w:hint="eastAsia" w:ascii="宋体" w:hAnsi="宋体" w:eastAsia="宋体" w:cs="宋体"/>
                <w:kern w:val="0"/>
                <w:sz w:val="21"/>
                <w:szCs w:val="21"/>
                <w:lang w:val="en-US" w:eastAsia="zh-CN"/>
              </w:rPr>
              <w:t>30分</w:t>
            </w:r>
          </w:p>
        </w:tc>
        <w:tc>
          <w:tcPr>
            <w:tcW w:w="135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投标报价（0-30 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价格分采用低价优先法计算，即满足招标文件要求且评标报价最低的评标报价为评标基准价，其价格分为满分。其他投标人的价格分统一按照下列公式计算：</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投标报价得分=(评标基准价／投标报价)×30%×100</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按四舍五入法则，保留小数点后两位。</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投标报价的评审（依据《政府采购促进中小企业发展管理办法》（财库﹝2020﹞46号）），对小型、微型企业和残疾人福利性单位（如是提供相关证明）产品的价格给予6%的扣除，用扣除后的价格参与评审。</w:t>
            </w:r>
          </w:p>
          <w:p>
            <w:pPr>
              <w:adjustRightInd w:val="0"/>
              <w:snapToGrid w:val="0"/>
              <w:rPr>
                <w:rFonts w:hint="eastAsia" w:ascii="宋体" w:hAnsi="宋体" w:eastAsia="宋体" w:cs="宋体"/>
                <w:sz w:val="21"/>
                <w:szCs w:val="21"/>
              </w:rPr>
            </w:pPr>
            <w:r>
              <w:rPr>
                <w:rFonts w:hint="eastAsia" w:ascii="宋体" w:hAnsi="宋体" w:eastAsia="宋体" w:cs="宋体"/>
                <w:kern w:val="0"/>
                <w:sz w:val="21"/>
                <w:szCs w:val="21"/>
              </w:rPr>
              <w:t>说明：评标委员会认为投标人的报价明显低于</w:t>
            </w:r>
            <w:r>
              <w:rPr>
                <w:rFonts w:hint="eastAsia" w:ascii="宋体" w:hAnsi="宋体" w:eastAsia="宋体" w:cs="宋体"/>
                <w:kern w:val="0"/>
                <w:sz w:val="21"/>
                <w:szCs w:val="21"/>
                <w:lang w:eastAsia="zh-CN"/>
              </w:rPr>
              <w:t>控制价的</w:t>
            </w: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，有可能影响产品质量或者不能诚信履约的，应当要求其在评标现场合理的时间内提供书面说明，必要时提交相关证明材料，投标人不能证明其报价合理性的，评标委员会应当将其作为无效标处理。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2、技术部分</w:t>
            </w:r>
            <w:r>
              <w:rPr>
                <w:rFonts w:hint="eastAsia" w:ascii="宋体" w:hAnsi="宋体" w:eastAsia="宋体" w:cs="宋体"/>
                <w:kern w:val="0"/>
                <w:sz w:val="21"/>
                <w:szCs w:val="21"/>
                <w:lang w:val="en-US" w:eastAsia="zh-CN"/>
              </w:rPr>
              <w:t>30分</w:t>
            </w:r>
          </w:p>
        </w:tc>
        <w:tc>
          <w:tcPr>
            <w:tcW w:w="135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技术指标（0-30分）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投标货物的规格、型号、品牌，满足招标文件要求，投标货物的技术参数、技术指标全部满足招标文件要求，且产品▲号条款要求提供的证明材料完全提供的得30分。</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加</w:t>
            </w:r>
            <w:r>
              <w:rPr>
                <w:rFonts w:hint="eastAsia" w:ascii="宋体" w:hAnsi="宋体" w:eastAsia="宋体" w:cs="宋体"/>
                <w:sz w:val="21"/>
                <w:szCs w:val="21"/>
              </w:rPr>
              <w:t>★号条款不满足</w:t>
            </w:r>
            <w:r>
              <w:rPr>
                <w:rFonts w:hint="eastAsia" w:ascii="宋体" w:hAnsi="宋体" w:eastAsia="宋体" w:cs="宋体"/>
                <w:sz w:val="21"/>
                <w:szCs w:val="21"/>
                <w:lang w:eastAsia="zh-CN"/>
              </w:rPr>
              <w:t>或不按要求提供证明材料</w:t>
            </w:r>
            <w:r>
              <w:rPr>
                <w:rFonts w:hint="eastAsia" w:ascii="宋体" w:hAnsi="宋体" w:eastAsia="宋体" w:cs="宋体"/>
                <w:sz w:val="21"/>
                <w:szCs w:val="21"/>
              </w:rPr>
              <w:t>的按无效投标处理；</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加▲号条款不满足或要求提供的证明材料无法提供的每有一项扣3分，扣完为止；</w:t>
            </w:r>
          </w:p>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其他技术参数每有一项不满足的扣2分，扣完为止。（0-30分）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restar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3、商务部分</w:t>
            </w:r>
            <w:r>
              <w:rPr>
                <w:rFonts w:hint="eastAsia" w:ascii="宋体" w:hAnsi="宋体" w:eastAsia="宋体" w:cs="宋体"/>
                <w:kern w:val="0"/>
                <w:sz w:val="21"/>
                <w:szCs w:val="21"/>
                <w:lang w:val="en-US" w:eastAsia="zh-CN"/>
              </w:rPr>
              <w:t>40分</w:t>
            </w:r>
          </w:p>
        </w:tc>
        <w:tc>
          <w:tcPr>
            <w:tcW w:w="1350" w:type="dxa"/>
            <w:vMerge w:val="restart"/>
            <w:tcBorders>
              <w:top w:val="nil"/>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产品综合部分（0-</w:t>
            </w: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snapToGrid w:val="0"/>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、为确保产品的实用性及先进性，</w:t>
            </w:r>
            <w:r>
              <w:rPr>
                <w:rFonts w:hint="default"/>
                <w:color w:val="auto"/>
                <w:lang w:val="en-US" w:eastAsia="zh-CN"/>
              </w:rPr>
              <w:t>投标人</w:t>
            </w:r>
            <w:r>
              <w:rPr>
                <w:rFonts w:hint="eastAsia" w:ascii="宋体" w:hAnsi="宋体" w:eastAsia="宋体" w:cs="宋体"/>
                <w:color w:val="auto"/>
                <w:kern w:val="0"/>
                <w:sz w:val="21"/>
                <w:szCs w:val="21"/>
              </w:rPr>
              <w:t>所投</w:t>
            </w:r>
            <w:r>
              <w:rPr>
                <w:rFonts w:hint="eastAsia" w:ascii="宋体" w:hAnsi="宋体" w:eastAsia="宋体" w:cs="宋体"/>
                <w:color w:val="auto"/>
                <w:kern w:val="0"/>
                <w:sz w:val="21"/>
                <w:szCs w:val="21"/>
                <w:lang w:val="en-US" w:eastAsia="zh-CN"/>
              </w:rPr>
              <w:t>智能交互平板</w:t>
            </w:r>
            <w:r>
              <w:rPr>
                <w:rFonts w:hint="eastAsia" w:ascii="宋体" w:hAnsi="宋体" w:eastAsia="宋体" w:cs="宋体"/>
                <w:color w:val="auto"/>
                <w:kern w:val="0"/>
                <w:sz w:val="21"/>
                <w:szCs w:val="21"/>
                <w:lang w:eastAsia="zh-CN"/>
              </w:rPr>
              <w:t>生产厂商</w:t>
            </w:r>
            <w:r>
              <w:rPr>
                <w:rFonts w:hint="eastAsia" w:ascii="宋体" w:hAnsi="宋体" w:eastAsia="宋体" w:cs="宋体"/>
                <w:color w:val="auto"/>
                <w:kern w:val="0"/>
                <w:sz w:val="21"/>
                <w:szCs w:val="21"/>
              </w:rPr>
              <w:t>在交互技术领域获得由中华人民共和国国务院颁发的国家科学技术进步奖的得3分，没有不得分。</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提供证书复印件加盖</w:t>
            </w:r>
            <w:r>
              <w:rPr>
                <w:rFonts w:hint="eastAsia" w:ascii="宋体" w:hAnsi="宋体" w:eastAsia="宋体" w:cs="宋体"/>
                <w:color w:val="auto"/>
                <w:kern w:val="0"/>
                <w:sz w:val="21"/>
                <w:szCs w:val="21"/>
                <w:lang w:eastAsia="zh-CN"/>
              </w:rPr>
              <w:t>生产</w:t>
            </w:r>
            <w:r>
              <w:rPr>
                <w:rFonts w:hint="eastAsia" w:ascii="宋体" w:hAnsi="宋体" w:eastAsia="宋体" w:cs="宋体"/>
                <w:color w:val="auto"/>
                <w:kern w:val="0"/>
                <w:sz w:val="21"/>
                <w:szCs w:val="21"/>
              </w:rPr>
              <w:t>厂商公章</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snapToGrid w:val="0"/>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default"/>
                <w:color w:val="auto"/>
                <w:lang w:val="en-US" w:eastAsia="zh-CN"/>
              </w:rPr>
              <w:t>投标人</w:t>
            </w:r>
            <w:r>
              <w:rPr>
                <w:rFonts w:hint="eastAsia" w:ascii="宋体" w:hAnsi="宋体" w:eastAsia="宋体" w:cs="宋体"/>
                <w:color w:val="auto"/>
                <w:kern w:val="0"/>
                <w:sz w:val="21"/>
                <w:szCs w:val="21"/>
                <w:lang w:eastAsia="zh-CN"/>
              </w:rPr>
              <w:t xml:space="preserve">所投智能交互平板生产厂商通过 ISO27017 云服务信息安全管理体系认证得 </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eastAsia="zh-CN"/>
              </w:rPr>
              <w:t xml:space="preserve"> 分，</w:t>
            </w:r>
            <w:r>
              <w:rPr>
                <w:rFonts w:hint="eastAsia" w:ascii="宋体" w:hAnsi="宋体" w:eastAsia="宋体" w:cs="宋体"/>
                <w:color w:val="auto"/>
                <w:kern w:val="0"/>
                <w:sz w:val="21"/>
                <w:szCs w:val="21"/>
                <w:lang w:val="en-US" w:eastAsia="zh-CN" w:bidi="ar"/>
              </w:rPr>
              <w:t>未提供不得分</w:t>
            </w:r>
            <w:r>
              <w:rPr>
                <w:rFonts w:hint="eastAsia" w:ascii="宋体" w:hAnsi="宋体" w:eastAsia="宋体" w:cs="宋体"/>
                <w:color w:val="auto"/>
                <w:kern w:val="2"/>
                <w:sz w:val="21"/>
                <w:szCs w:val="21"/>
                <w:lang w:val="en-US" w:eastAsia="zh-CN" w:bidi="ar-SA"/>
              </w:rPr>
              <w:t>（提供证书复印件加盖生产厂商公章）</w:t>
            </w:r>
            <w:r>
              <w:rPr>
                <w:rFonts w:hint="eastAsia" w:ascii="宋体" w:hAnsi="宋体" w:eastAsia="宋体" w:cs="宋体"/>
                <w:bCs/>
                <w:color w:val="auto"/>
                <w:kern w:val="0"/>
                <w:sz w:val="21"/>
                <w:szCs w:val="21"/>
              </w:rPr>
              <w:t>。（0-</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snapToGrid w:val="0"/>
                <w:color w:val="auto"/>
                <w:kern w:val="0"/>
                <w:sz w:val="21"/>
                <w:szCs w:val="21"/>
                <w:lang w:val="en-US" w:eastAsia="zh-CN"/>
              </w:rPr>
            </w:pPr>
            <w:r>
              <w:rPr>
                <w:rFonts w:hint="eastAsia" w:ascii="宋体" w:hAnsi="宋体" w:eastAsia="宋体" w:cs="宋体"/>
                <w:color w:val="auto"/>
                <w:sz w:val="21"/>
                <w:szCs w:val="21"/>
                <w:lang w:val="en-US" w:eastAsia="zh-CN"/>
              </w:rPr>
              <w:t>3、</w:t>
            </w:r>
            <w:r>
              <w:rPr>
                <w:rFonts w:hint="default"/>
                <w:color w:val="auto"/>
                <w:lang w:val="en-US" w:eastAsia="zh-CN"/>
              </w:rPr>
              <w:t>投标人</w:t>
            </w:r>
            <w:r>
              <w:rPr>
                <w:rFonts w:hint="eastAsia" w:ascii="宋体" w:hAnsi="宋体" w:eastAsia="宋体" w:cs="宋体"/>
                <w:color w:val="auto"/>
                <w:sz w:val="21"/>
                <w:szCs w:val="21"/>
                <w:lang w:val="en-US" w:eastAsia="zh-CN"/>
              </w:rPr>
              <w:t>所投</w:t>
            </w:r>
            <w:r>
              <w:rPr>
                <w:rFonts w:hint="eastAsia" w:ascii="宋体" w:hAnsi="宋体" w:cs="宋体"/>
                <w:color w:val="auto"/>
                <w:sz w:val="21"/>
                <w:szCs w:val="21"/>
                <w:lang w:val="en-US" w:eastAsia="zh-CN"/>
              </w:rPr>
              <w:t>液晶</w:t>
            </w:r>
            <w:r>
              <w:rPr>
                <w:rFonts w:hint="eastAsia" w:ascii="宋体" w:hAnsi="宋体" w:eastAsia="宋体" w:cs="宋体"/>
                <w:color w:val="auto"/>
                <w:sz w:val="21"/>
                <w:szCs w:val="21"/>
              </w:rPr>
              <w:t>触摸</w:t>
            </w:r>
            <w:r>
              <w:rPr>
                <w:rFonts w:hint="eastAsia" w:ascii="宋体" w:hAnsi="宋体" w:cs="宋体"/>
                <w:color w:val="auto"/>
                <w:sz w:val="21"/>
                <w:szCs w:val="21"/>
                <w:lang w:val="en-US" w:eastAsia="zh-CN"/>
              </w:rPr>
              <w:t>一体机</w:t>
            </w:r>
            <w:r>
              <w:rPr>
                <w:rFonts w:hint="eastAsia" w:ascii="宋体" w:hAnsi="宋体" w:eastAsia="宋体" w:cs="宋体"/>
                <w:color w:val="auto"/>
                <w:sz w:val="21"/>
                <w:szCs w:val="21"/>
                <w:lang w:val="en-US" w:eastAsia="zh-CN"/>
              </w:rPr>
              <w:t>产品</w:t>
            </w:r>
            <w:r>
              <w:rPr>
                <w:rFonts w:hint="eastAsia" w:ascii="宋体" w:hAnsi="宋体" w:eastAsia="宋体" w:cs="宋体"/>
                <w:color w:val="auto"/>
                <w:sz w:val="21"/>
                <w:szCs w:val="21"/>
              </w:rPr>
              <w:t>品牌</w:t>
            </w:r>
            <w:r>
              <w:rPr>
                <w:rFonts w:hint="eastAsia" w:ascii="宋体" w:hAnsi="宋体" w:eastAsia="宋体" w:cs="宋体"/>
                <w:color w:val="auto"/>
                <w:sz w:val="21"/>
                <w:szCs w:val="21"/>
                <w:lang w:val="en-US" w:eastAsia="zh-CN"/>
              </w:rPr>
              <w:t>具有</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企业标准化管理体系认证证书三级</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项目质量管理认证证书5A级</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提供证书复印件加盖厂家公章，全部提供得3分，提供不全或不能提供得0分。</w:t>
            </w:r>
            <w:r>
              <w:rPr>
                <w:rFonts w:hint="eastAsia" w:ascii="宋体" w:hAnsi="宋体" w:eastAsia="宋体" w:cs="宋体"/>
                <w:bCs/>
                <w:color w:val="auto"/>
                <w:kern w:val="0"/>
                <w:sz w:val="21"/>
                <w:szCs w:val="21"/>
              </w:rPr>
              <w:t>（0-</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snapToGrid w:val="0"/>
                <w:color w:val="auto"/>
                <w:kern w:val="0"/>
                <w:sz w:val="21"/>
                <w:szCs w:val="21"/>
                <w:lang w:val="en-US"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、为防止产权纠纷，</w:t>
            </w:r>
            <w:r>
              <w:rPr>
                <w:rFonts w:hint="default"/>
                <w:color w:val="auto"/>
                <w:lang w:val="en-US" w:eastAsia="zh-CN"/>
              </w:rPr>
              <w:t>投标人</w:t>
            </w:r>
            <w:r>
              <w:rPr>
                <w:rFonts w:hint="eastAsia" w:ascii="宋体" w:hAnsi="宋体" w:eastAsia="宋体" w:cs="宋体"/>
                <w:color w:val="auto"/>
                <w:kern w:val="0"/>
                <w:sz w:val="21"/>
                <w:szCs w:val="21"/>
              </w:rPr>
              <w:t>所投推拉绿板生产</w:t>
            </w:r>
            <w:r>
              <w:rPr>
                <w:rFonts w:hint="eastAsia" w:ascii="宋体" w:hAnsi="宋体" w:eastAsia="宋体" w:cs="宋体"/>
                <w:color w:val="auto"/>
                <w:kern w:val="0"/>
                <w:sz w:val="21"/>
                <w:szCs w:val="21"/>
                <w:lang w:eastAsia="zh-CN"/>
              </w:rPr>
              <w:t>厂商</w:t>
            </w:r>
            <w:r>
              <w:rPr>
                <w:rFonts w:hint="eastAsia" w:ascii="宋体" w:hAnsi="宋体" w:eastAsia="宋体" w:cs="宋体"/>
                <w:color w:val="auto"/>
                <w:kern w:val="0"/>
                <w:sz w:val="21"/>
                <w:szCs w:val="21"/>
              </w:rPr>
              <w:t>同时通过GB/T29490-2013知识产权管理体系认证</w:t>
            </w:r>
            <w:r>
              <w:rPr>
                <w:rFonts w:hint="eastAsia" w:ascii="宋体" w:hAnsi="宋体" w:eastAsia="宋体" w:cs="宋体"/>
                <w:color w:val="auto"/>
                <w:kern w:val="0"/>
                <w:sz w:val="21"/>
                <w:szCs w:val="21"/>
                <w:lang w:eastAsia="zh-CN"/>
              </w:rPr>
              <w:t>（国家认证信息查询系统可查并提供网上查询网址和查询截图）和</w:t>
            </w:r>
            <w:r>
              <w:rPr>
                <w:rFonts w:hint="eastAsia" w:ascii="宋体" w:hAnsi="宋体" w:eastAsia="宋体" w:cs="宋体"/>
                <w:color w:val="auto"/>
                <w:kern w:val="0"/>
                <w:sz w:val="21"/>
                <w:szCs w:val="21"/>
              </w:rPr>
              <w:t>CE认证（</w:t>
            </w:r>
            <w:r>
              <w:rPr>
                <w:rFonts w:hint="eastAsia" w:ascii="宋体" w:hAnsi="宋体" w:eastAsia="宋体" w:cs="宋体"/>
                <w:color w:val="auto"/>
                <w:kern w:val="0"/>
                <w:sz w:val="21"/>
                <w:szCs w:val="21"/>
                <w:lang w:eastAsia="zh-CN"/>
              </w:rPr>
              <w:t>提供认证证书复印件</w:t>
            </w:r>
            <w:r>
              <w:rPr>
                <w:rFonts w:hint="eastAsia" w:ascii="宋体" w:hAnsi="宋体" w:eastAsia="宋体" w:cs="宋体"/>
                <w:color w:val="auto"/>
                <w:kern w:val="0"/>
                <w:sz w:val="21"/>
                <w:szCs w:val="21"/>
              </w:rPr>
              <w:t>）的得</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，没有不得分（提供证明材料加盖生产厂商公章）</w:t>
            </w: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snapToGrid w:val="0"/>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default"/>
                <w:color w:val="auto"/>
                <w:lang w:val="en-US" w:eastAsia="zh-CN"/>
              </w:rPr>
              <w:t>投标人所投</w:t>
            </w:r>
            <w:r>
              <w:rPr>
                <w:rFonts w:hint="eastAsia"/>
                <w:color w:val="auto"/>
                <w:lang w:val="en-US" w:eastAsia="zh-CN"/>
              </w:rPr>
              <w:t>无线录播主机生产厂商</w:t>
            </w:r>
            <w:r>
              <w:rPr>
                <w:rFonts w:hint="eastAsia" w:ascii="宋体" w:hAnsi="宋体" w:eastAsia="宋体" w:cs="宋体"/>
                <w:color w:val="auto"/>
                <w:kern w:val="0"/>
                <w:sz w:val="21"/>
                <w:szCs w:val="21"/>
                <w:lang w:val="en-US" w:eastAsia="zh-CN"/>
              </w:rPr>
              <w:t>参与编写过工业和信息化部指导的视频领域相关的技术标准白皮书的得3分，未提供此项不得分（提供证明文件复印件加盖厂商公章）</w:t>
            </w:r>
            <w:r>
              <w:rPr>
                <w:rFonts w:hint="eastAsia" w:ascii="宋体" w:hAnsi="宋体" w:eastAsia="宋体"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default" w:ascii="宋体" w:hAnsi="宋体" w:eastAsia="宋体" w:cs="宋体"/>
                <w:snapToGrid w:val="0"/>
                <w:color w:val="auto"/>
                <w:kern w:val="0"/>
                <w:sz w:val="21"/>
                <w:szCs w:val="21"/>
                <w:lang w:val="en-US" w:eastAsia="zh-CN"/>
              </w:rPr>
            </w:pPr>
            <w:r>
              <w:rPr>
                <w:rFonts w:hint="eastAsia" w:ascii="宋体" w:hAnsi="宋体" w:eastAsia="宋体" w:cs="宋体"/>
                <w:snapToGrid w:val="0"/>
                <w:color w:val="auto"/>
                <w:kern w:val="0"/>
                <w:sz w:val="21"/>
                <w:szCs w:val="21"/>
                <w:lang w:val="en-US" w:eastAsia="zh-CN"/>
              </w:rPr>
              <w:t>6、投标人所投学生实验桌生产厂商具有依据GB/T23794-2015、GB/T36733-2018、GB/T40957-2021综合评审为：一级的绿色校园标准化建设产品使用安全管理服务证书的得3分，</w:t>
            </w:r>
            <w:r>
              <w:rPr>
                <w:rFonts w:hint="eastAsia" w:ascii="宋体" w:hAnsi="宋体" w:eastAsia="宋体" w:cs="宋体"/>
                <w:color w:val="auto"/>
                <w:kern w:val="0"/>
                <w:sz w:val="21"/>
                <w:szCs w:val="21"/>
                <w:lang w:eastAsia="zh-CN"/>
              </w:rPr>
              <w:t>未提供不得分（提供证书复印件加盖厂商公章）</w:t>
            </w:r>
            <w:r>
              <w:rPr>
                <w:rFonts w:hint="eastAsia" w:ascii="宋体" w:hAnsi="宋体" w:eastAsia="宋体"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left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1350" w:type="dxa"/>
            <w:vMerge w:val="continue"/>
            <w:tcBorders>
              <w:left w:val="nil"/>
              <w:right w:val="single" w:color="auto" w:sz="4" w:space="0"/>
            </w:tcBorders>
            <w:noWrap/>
            <w:vAlign w:val="center"/>
          </w:tcPr>
          <w:p>
            <w:pPr>
              <w:adjustRightInd w:val="0"/>
              <w:snapToGrid w:val="0"/>
              <w:jc w:val="center"/>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default" w:ascii="宋体" w:hAnsi="宋体" w:eastAsia="宋体" w:cs="宋体"/>
                <w:snapToGrid w:val="0"/>
                <w:color w:val="auto"/>
                <w:kern w:val="0"/>
                <w:sz w:val="21"/>
                <w:szCs w:val="21"/>
                <w:lang w:val="en-US" w:eastAsia="zh-CN"/>
              </w:rPr>
            </w:pPr>
            <w:r>
              <w:rPr>
                <w:rFonts w:hint="eastAsia" w:ascii="宋体" w:hAnsi="宋体" w:eastAsia="宋体" w:cs="宋体"/>
                <w:snapToGrid w:val="0"/>
                <w:color w:val="auto"/>
                <w:kern w:val="0"/>
                <w:sz w:val="21"/>
                <w:szCs w:val="21"/>
                <w:lang w:val="en-US" w:eastAsia="zh-CN"/>
              </w:rPr>
              <w:t>7、投标人所投单人升降课桌凳生产厂家具有</w:t>
            </w:r>
            <w:r>
              <w:rPr>
                <w:rFonts w:hint="eastAsia" w:ascii="宋体" w:hAnsi="宋体" w:eastAsia="宋体" w:cs="宋体"/>
                <w:snapToGrid w:val="0"/>
                <w:color w:val="auto"/>
                <w:kern w:val="0"/>
                <w:sz w:val="21"/>
                <w:szCs w:val="21"/>
                <w:lang w:val="zh-CN" w:eastAsia="en-US"/>
              </w:rPr>
              <w:t>低VOCs家具产品认证证书的得</w:t>
            </w:r>
            <w:r>
              <w:rPr>
                <w:rFonts w:hint="eastAsia" w:ascii="宋体" w:hAnsi="宋体" w:eastAsia="宋体" w:cs="宋体"/>
                <w:snapToGrid w:val="0"/>
                <w:color w:val="auto"/>
                <w:kern w:val="0"/>
                <w:sz w:val="21"/>
                <w:szCs w:val="21"/>
                <w:lang w:val="en-US" w:eastAsia="zh-CN"/>
              </w:rPr>
              <w:t>2</w:t>
            </w:r>
            <w:r>
              <w:rPr>
                <w:rFonts w:hint="eastAsia" w:ascii="宋体" w:hAnsi="宋体" w:eastAsia="宋体" w:cs="宋体"/>
                <w:snapToGrid w:val="0"/>
                <w:color w:val="auto"/>
                <w:kern w:val="0"/>
                <w:sz w:val="21"/>
                <w:szCs w:val="21"/>
                <w:lang w:val="zh-CN" w:eastAsia="en-US"/>
              </w:rPr>
              <w:t>分，</w:t>
            </w:r>
            <w:r>
              <w:rPr>
                <w:rFonts w:hint="eastAsia" w:ascii="宋体" w:hAnsi="宋体" w:eastAsia="宋体" w:cs="宋体"/>
                <w:snapToGrid w:val="0"/>
                <w:color w:val="auto"/>
                <w:kern w:val="0"/>
                <w:sz w:val="21"/>
                <w:szCs w:val="21"/>
                <w:lang w:val="en-US" w:eastAsia="zh-CN"/>
              </w:rPr>
              <w:t>未提供不得分（提供证书复印件加盖厂家公章）。（0-2分）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345"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1"/>
                <w:szCs w:val="21"/>
              </w:rPr>
            </w:pPr>
          </w:p>
        </w:tc>
        <w:tc>
          <w:tcPr>
            <w:tcW w:w="135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售后服务（0-</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根据售后服务承诺情况进行评审：</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售后服务承诺细致、体系完备，能满足用户需要的得</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售后服务承诺基本周到的得</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售后服务承诺不完备、可操作性不强的得1-</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未提供售后服务承诺的不得分。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345"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1"/>
                <w:szCs w:val="21"/>
              </w:rPr>
            </w:pPr>
          </w:p>
        </w:tc>
        <w:tc>
          <w:tcPr>
            <w:tcW w:w="135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sz w:val="21"/>
                <w:szCs w:val="21"/>
              </w:rPr>
              <w:t>项目实施</w:t>
            </w:r>
          </w:p>
          <w:p>
            <w:pPr>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0-9分</w:t>
            </w:r>
            <w:r>
              <w:rPr>
                <w:rFonts w:hint="eastAsia" w:ascii="宋体" w:hAnsi="宋体" w:eastAsia="宋体" w:cs="宋体"/>
                <w:color w:val="auto"/>
                <w:kern w:val="0"/>
                <w:sz w:val="21"/>
                <w:szCs w:val="21"/>
                <w:lang w:eastAsia="zh-CN"/>
              </w:rPr>
              <w:t>）</w:t>
            </w:r>
          </w:p>
        </w:tc>
        <w:tc>
          <w:tcPr>
            <w:tcW w:w="6385" w:type="dxa"/>
            <w:tcBorders>
              <w:top w:val="single" w:color="auto" w:sz="4" w:space="0"/>
              <w:left w:val="nil"/>
              <w:bottom w:val="single" w:color="auto" w:sz="4" w:space="0"/>
              <w:right w:val="single" w:color="auto" w:sz="4" w:space="0"/>
            </w:tcBorders>
            <w:noWrap/>
            <w:vAlign w:val="center"/>
          </w:tcPr>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根据投标人提供的项目实施方案要求满足合理性及可操作性进行评审：</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方案合理、实用、完整，有详细实施计划的得</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方案基本能阐述但不够准确、全面、具体，有简要实施计划的得</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项目实施方案有缺失，合理性及可操作性一般的得1-</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p>
          <w:p>
            <w:pPr>
              <w:adjustRightInd w:val="0"/>
              <w:snapToGrid w:val="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未提供项目实施方案的不得分。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1"/>
                <w:szCs w:val="21"/>
              </w:rPr>
            </w:pPr>
          </w:p>
        </w:tc>
        <w:tc>
          <w:tcPr>
            <w:tcW w:w="1350" w:type="dxa"/>
            <w:vMerge w:val="restart"/>
            <w:tcBorders>
              <w:top w:val="nil"/>
              <w:left w:val="nil"/>
              <w:bottom w:val="single" w:color="auto" w:sz="4" w:space="0"/>
              <w:right w:val="single" w:color="auto" w:sz="4" w:space="0"/>
            </w:tcBorders>
            <w:noWrap/>
            <w:vAlign w:val="center"/>
          </w:tcPr>
          <w:p>
            <w:pPr>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响应文件制作规范（0-2分）</w:t>
            </w: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lang w:eastAsia="zh-CN"/>
              </w:rPr>
              <w:t>响应</w:t>
            </w:r>
            <w:r>
              <w:rPr>
                <w:rFonts w:hint="eastAsia" w:ascii="宋体" w:hAnsi="宋体" w:eastAsia="宋体" w:cs="宋体"/>
                <w:kern w:val="0"/>
                <w:sz w:val="21"/>
                <w:szCs w:val="21"/>
              </w:rPr>
              <w:t>文件制作完整、清晰无错误得 1 分，有一处错误或模糊的扣 0.2 分，最多扣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kern w:val="0"/>
                <w:sz w:val="21"/>
                <w:szCs w:val="21"/>
              </w:rPr>
            </w:pPr>
          </w:p>
        </w:tc>
        <w:tc>
          <w:tcPr>
            <w:tcW w:w="1350" w:type="dxa"/>
            <w:vMerge w:val="continue"/>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1"/>
                <w:szCs w:val="21"/>
              </w:rPr>
            </w:pPr>
          </w:p>
        </w:tc>
        <w:tc>
          <w:tcPr>
            <w:tcW w:w="6385" w:type="dxa"/>
            <w:tcBorders>
              <w:top w:val="single" w:color="auto" w:sz="4" w:space="0"/>
              <w:left w:val="nil"/>
              <w:bottom w:val="single" w:color="auto" w:sz="4" w:space="0"/>
              <w:right w:val="single" w:color="auto" w:sz="4" w:space="0"/>
            </w:tcBorders>
            <w:noWrap/>
            <w:vAlign w:val="top"/>
          </w:tcPr>
          <w:p>
            <w:pPr>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响应文件目录页码详细清晰准确得1分，无页码目录扣1分，页码目录不详细准确酌情扣分，最多扣 1分。 （ 0-1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0"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宋体" w:hAnsi="宋体" w:eastAsia="宋体" w:cs="宋体"/>
                <w:kern w:val="0"/>
                <w:sz w:val="21"/>
                <w:szCs w:val="21"/>
              </w:rPr>
            </w:pPr>
            <w:r>
              <w:rPr>
                <w:rFonts w:hint="eastAsia" w:ascii="宋体" w:hAnsi="宋体" w:eastAsia="宋体" w:cs="宋体"/>
                <w:sz w:val="21"/>
                <w:szCs w:val="21"/>
              </w:rPr>
              <w:t>本办法计算过程中分值按四舍五入保留两位小数，最终结果为评标委员会所有成员计算出的各投标人综合评估得分的算术平均值，按四舍五入保留两位小数。</w:t>
            </w:r>
          </w:p>
        </w:tc>
      </w:tr>
    </w:tbl>
    <w:p>
      <w:r>
        <w:rPr>
          <w:rFonts w:hint="eastAsia" w:ascii="宋体" w:hAnsi="宋体" w:eastAsia="宋体" w:cs="宋体"/>
          <w:spacing w:val="8"/>
          <w:sz w:val="21"/>
          <w:szCs w:val="21"/>
        </w:rPr>
        <w:t>注： 评标委员会对各投标人的得分进行汇总，计算过程中评委个人分值按四舍五入保留三位小数， 最终结果按四舍五入保留两位小数。以各评标委员会打分的算术平均值作为该投标人的最终得分。</w:t>
      </w:r>
    </w:p>
    <w:p/>
    <w:p>
      <w:pPr>
        <w:rPr>
          <w:rFonts w:hint="eastAsia" w:eastAsia="宋体"/>
          <w:lang w:eastAsia="zh-CN"/>
        </w:rPr>
      </w:pPr>
    </w:p>
    <w:p>
      <w:pPr>
        <w:pStyle w:val="2"/>
      </w:pPr>
      <w:bookmarkStart w:id="63" w:name="_Toc8053"/>
      <w:r>
        <w:rPr>
          <w:rFonts w:hint="eastAsia"/>
        </w:rPr>
        <w:t>1.评标方法</w:t>
      </w:r>
      <w:bookmarkEnd w:id="63"/>
    </w:p>
    <w:p>
      <w:pPr>
        <w:adjustRightInd w:val="0"/>
        <w:snapToGrid w:val="0"/>
        <w:spacing w:line="360" w:lineRule="auto"/>
        <w:ind w:firstLine="480" w:firstLineChars="200"/>
        <w:rPr>
          <w:rFonts w:hAnsi="宋体" w:cs="宋体"/>
          <w:snapToGrid w:val="0"/>
        </w:rPr>
      </w:pPr>
      <w:r>
        <w:rPr>
          <w:rFonts w:hint="eastAsia" w:hAnsi="宋体" w:cs="宋体"/>
          <w:snapToGrid w:val="0"/>
        </w:rPr>
        <w:t>本次评标采用综合评估法。评标委员会对满足招标文件实质性要求的投标文件，投标报价得分与其它综合因素得分之和为供应商的评审总得分。评审总得分由高到低排序确定中标供应商。得分相同时，按投标报价由低到高排序。得分且投标报价相同的，按技术指标优劣顺序排列。</w:t>
      </w:r>
    </w:p>
    <w:p>
      <w:pPr>
        <w:pStyle w:val="2"/>
      </w:pPr>
      <w:bookmarkStart w:id="64" w:name="_Toc444777508"/>
      <w:bookmarkStart w:id="65" w:name="_Toc20623"/>
      <w:bookmarkStart w:id="66" w:name="_Toc300320354"/>
      <w:bookmarkStart w:id="67" w:name="_Toc443143101"/>
      <w:bookmarkStart w:id="68" w:name="_Toc327184892"/>
      <w:bookmarkStart w:id="69" w:name="_Toc184635094"/>
      <w:bookmarkStart w:id="70" w:name="_Toc467056622"/>
      <w:bookmarkStart w:id="71" w:name="_Toc353464857"/>
      <w:bookmarkStart w:id="72" w:name="_Toc15118"/>
      <w:bookmarkStart w:id="73" w:name="_Toc4809"/>
      <w:r>
        <w:rPr>
          <w:rFonts w:hint="eastAsia"/>
        </w:rPr>
        <w:t>2.评审标准</w:t>
      </w:r>
      <w:bookmarkEnd w:id="64"/>
      <w:bookmarkEnd w:id="65"/>
      <w:bookmarkEnd w:id="66"/>
      <w:bookmarkEnd w:id="67"/>
      <w:bookmarkEnd w:id="68"/>
      <w:bookmarkEnd w:id="69"/>
      <w:bookmarkEnd w:id="70"/>
      <w:bookmarkEnd w:id="71"/>
      <w:bookmarkEnd w:id="72"/>
      <w:bookmarkEnd w:id="73"/>
    </w:p>
    <w:p>
      <w:pPr>
        <w:spacing w:line="340" w:lineRule="exact"/>
        <w:rPr>
          <w:rFonts w:hAnsi="宋体" w:cs="宋体"/>
          <w:b/>
        </w:rPr>
      </w:pPr>
      <w:r>
        <w:rPr>
          <w:rFonts w:hint="eastAsia" w:hAnsi="宋体" w:cs="宋体"/>
          <w:b/>
        </w:rPr>
        <w:t>2.1 初步评审标准</w:t>
      </w:r>
    </w:p>
    <w:p>
      <w:pPr>
        <w:adjustRightInd w:val="0"/>
        <w:snapToGrid w:val="0"/>
        <w:spacing w:line="360" w:lineRule="auto"/>
        <w:ind w:firstLine="480" w:firstLineChars="200"/>
        <w:rPr>
          <w:rFonts w:hAnsi="宋体" w:cs="宋体"/>
          <w:snapToGrid w:val="0"/>
        </w:rPr>
      </w:pPr>
      <w:r>
        <w:rPr>
          <w:rFonts w:hint="eastAsia" w:hAnsi="宋体" w:cs="宋体"/>
          <w:snapToGrid w:val="0"/>
        </w:rPr>
        <w:t>2.1.1 形式评审标准：见评标办法前附表。</w:t>
      </w:r>
    </w:p>
    <w:p>
      <w:pPr>
        <w:adjustRightInd w:val="0"/>
        <w:snapToGrid w:val="0"/>
        <w:spacing w:line="360" w:lineRule="auto"/>
        <w:ind w:firstLine="480" w:firstLineChars="200"/>
        <w:rPr>
          <w:rFonts w:hAnsi="宋体" w:cs="宋体"/>
          <w:snapToGrid w:val="0"/>
        </w:rPr>
      </w:pPr>
      <w:r>
        <w:rPr>
          <w:rFonts w:hint="eastAsia" w:hAnsi="宋体" w:cs="宋体"/>
          <w:snapToGrid w:val="0"/>
        </w:rPr>
        <w:t>2.1.2 资格评审标准：见评标办法前附表。</w:t>
      </w:r>
    </w:p>
    <w:p>
      <w:pPr>
        <w:adjustRightInd w:val="0"/>
        <w:snapToGrid w:val="0"/>
        <w:spacing w:line="360" w:lineRule="auto"/>
        <w:ind w:firstLine="480" w:firstLineChars="200"/>
        <w:rPr>
          <w:rFonts w:hAnsi="宋体" w:cs="宋体"/>
          <w:snapToGrid w:val="0"/>
        </w:rPr>
      </w:pPr>
      <w:r>
        <w:rPr>
          <w:rFonts w:hint="eastAsia" w:hAnsi="宋体" w:cs="宋体"/>
          <w:snapToGrid w:val="0"/>
        </w:rPr>
        <w:t>2.1.3 响应性评审标准：见评标办法前附表。</w:t>
      </w:r>
    </w:p>
    <w:p>
      <w:pPr>
        <w:spacing w:line="340" w:lineRule="exact"/>
        <w:rPr>
          <w:rFonts w:hAnsi="宋体" w:cs="宋体"/>
          <w:b/>
        </w:rPr>
      </w:pPr>
      <w:r>
        <w:rPr>
          <w:rFonts w:hint="eastAsia" w:hAnsi="宋体" w:cs="宋体"/>
          <w:b/>
        </w:rPr>
        <w:t>2.2 分值构成与评分标准</w:t>
      </w:r>
    </w:p>
    <w:p>
      <w:pPr>
        <w:adjustRightInd w:val="0"/>
        <w:snapToGrid w:val="0"/>
        <w:spacing w:line="360" w:lineRule="auto"/>
        <w:ind w:firstLine="480" w:firstLineChars="200"/>
        <w:rPr>
          <w:rFonts w:hAnsi="宋体" w:cs="宋体"/>
          <w:snapToGrid w:val="0"/>
        </w:rPr>
      </w:pPr>
      <w:r>
        <w:rPr>
          <w:rFonts w:hint="eastAsia" w:hAnsi="宋体" w:cs="宋体"/>
          <w:snapToGrid w:val="0"/>
        </w:rPr>
        <w:t>2.2.1 分值构成：见评标办法前附表。</w:t>
      </w:r>
    </w:p>
    <w:p>
      <w:pPr>
        <w:adjustRightInd w:val="0"/>
        <w:snapToGrid w:val="0"/>
        <w:spacing w:line="360" w:lineRule="auto"/>
        <w:ind w:firstLine="480" w:firstLineChars="200"/>
        <w:rPr>
          <w:rFonts w:hAnsi="宋体" w:cs="宋体"/>
          <w:snapToGrid w:val="0"/>
        </w:rPr>
      </w:pPr>
      <w:r>
        <w:rPr>
          <w:rFonts w:hint="eastAsia" w:hAnsi="宋体" w:cs="宋体"/>
          <w:snapToGrid w:val="0"/>
        </w:rPr>
        <w:t>2.2.2 评标基准值计算：见评标办法前附表。</w:t>
      </w:r>
    </w:p>
    <w:p>
      <w:pPr>
        <w:adjustRightInd w:val="0"/>
        <w:snapToGrid w:val="0"/>
        <w:spacing w:line="360" w:lineRule="auto"/>
        <w:ind w:firstLine="480" w:firstLineChars="200"/>
        <w:rPr>
          <w:rFonts w:hAnsi="宋体" w:cs="宋体"/>
          <w:snapToGrid w:val="0"/>
        </w:rPr>
      </w:pPr>
      <w:r>
        <w:rPr>
          <w:rFonts w:hint="eastAsia" w:hAnsi="宋体" w:cs="宋体"/>
          <w:snapToGrid w:val="0"/>
        </w:rPr>
        <w:t>2.2.3 评分标准：见评标办法前附表。</w:t>
      </w:r>
    </w:p>
    <w:p>
      <w:pPr>
        <w:pStyle w:val="2"/>
        <w:spacing w:line="360" w:lineRule="auto"/>
        <w:rPr>
          <w:rFonts w:ascii="宋体" w:hAnsi="宋体" w:cs="宋体"/>
        </w:rPr>
      </w:pPr>
      <w:bookmarkStart w:id="74" w:name="_Toc443143102"/>
      <w:bookmarkStart w:id="75" w:name="_Toc353464858"/>
      <w:bookmarkStart w:id="76" w:name="_Toc60"/>
      <w:bookmarkStart w:id="77" w:name="_Toc444777509"/>
      <w:bookmarkStart w:id="78" w:name="_Toc6112"/>
      <w:bookmarkStart w:id="79" w:name="_Toc467056623"/>
      <w:bookmarkStart w:id="80" w:name="_Toc327184893"/>
      <w:bookmarkStart w:id="81" w:name="_Toc20122"/>
      <w:r>
        <w:rPr>
          <w:rFonts w:hint="eastAsia" w:ascii="宋体" w:hAnsi="宋体" w:cs="宋体"/>
        </w:rPr>
        <w:t>3.评标程序</w:t>
      </w:r>
      <w:bookmarkEnd w:id="74"/>
      <w:bookmarkEnd w:id="75"/>
      <w:bookmarkEnd w:id="76"/>
      <w:bookmarkEnd w:id="77"/>
      <w:bookmarkEnd w:id="78"/>
      <w:bookmarkEnd w:id="79"/>
      <w:bookmarkEnd w:id="80"/>
      <w:bookmarkEnd w:id="81"/>
    </w:p>
    <w:p>
      <w:pPr>
        <w:adjustRightInd w:val="0"/>
        <w:snapToGrid w:val="0"/>
        <w:spacing w:line="360" w:lineRule="auto"/>
        <w:rPr>
          <w:rFonts w:hAnsi="宋体" w:cs="宋体"/>
          <w:b/>
          <w:bCs/>
          <w:snapToGrid w:val="0"/>
        </w:rPr>
      </w:pPr>
      <w:r>
        <w:rPr>
          <w:rFonts w:hint="eastAsia" w:hAnsi="宋体" w:cs="宋体"/>
          <w:b/>
          <w:bCs/>
          <w:snapToGrid w:val="0"/>
        </w:rPr>
        <w:t>3.1 初步评审</w:t>
      </w:r>
    </w:p>
    <w:p>
      <w:pPr>
        <w:adjustRightInd w:val="0"/>
        <w:snapToGrid w:val="0"/>
        <w:spacing w:line="360" w:lineRule="auto"/>
        <w:ind w:firstLine="480" w:firstLineChars="200"/>
        <w:rPr>
          <w:rFonts w:hAnsi="宋体" w:cs="宋体"/>
          <w:snapToGrid w:val="0"/>
        </w:rPr>
      </w:pPr>
      <w:r>
        <w:rPr>
          <w:rFonts w:hint="eastAsia" w:hAnsi="宋体" w:cs="宋体"/>
          <w:snapToGrid w:val="0"/>
        </w:rPr>
        <w:t>3.1.1 评标委员会可以要求供应商提交资格评审中有关证明和证件的资料核验，评标委员会依据本办法第2.1 款规定的标准对响应文件进行初步评审。有一项不符合评审标准的，作无效投标处理。</w:t>
      </w:r>
    </w:p>
    <w:p>
      <w:pPr>
        <w:adjustRightInd w:val="0"/>
        <w:snapToGrid w:val="0"/>
        <w:spacing w:line="360" w:lineRule="auto"/>
        <w:ind w:firstLine="480" w:firstLineChars="200"/>
        <w:rPr>
          <w:rFonts w:hAnsi="宋体" w:cs="宋体"/>
          <w:snapToGrid w:val="0"/>
        </w:rPr>
      </w:pPr>
      <w:r>
        <w:rPr>
          <w:rFonts w:hint="eastAsia" w:hAnsi="宋体" w:cs="宋体"/>
          <w:snapToGrid w:val="0"/>
        </w:rPr>
        <w:t>3.1.2 无效投标条件按第二章第33.1款执行：</w:t>
      </w:r>
    </w:p>
    <w:p>
      <w:pPr>
        <w:adjustRightInd w:val="0"/>
        <w:snapToGrid w:val="0"/>
        <w:spacing w:line="360" w:lineRule="auto"/>
        <w:ind w:firstLine="480" w:firstLineChars="200"/>
        <w:rPr>
          <w:rFonts w:hAnsi="宋体" w:cs="宋体"/>
          <w:snapToGrid w:val="0"/>
        </w:rPr>
      </w:pPr>
      <w:r>
        <w:rPr>
          <w:rFonts w:hint="eastAsia" w:hAnsi="宋体" w:cs="宋体"/>
          <w:snapToGrid w:val="0"/>
        </w:rPr>
        <w:t>3.1.3 投标报价有算术错误的，评标委员会按以下原则对投标报价进行修正，修正的价格经供应商书面确认后具有约束力。供应商不接受修正价格的，其投标作无效投标处理。</w:t>
      </w:r>
    </w:p>
    <w:p>
      <w:pPr>
        <w:adjustRightInd w:val="0"/>
        <w:snapToGrid w:val="0"/>
        <w:spacing w:line="360" w:lineRule="auto"/>
        <w:ind w:firstLine="480" w:firstLineChars="200"/>
        <w:rPr>
          <w:rFonts w:hAnsi="宋体" w:cs="宋体"/>
          <w:snapToGrid w:val="0"/>
        </w:rPr>
      </w:pPr>
      <w:r>
        <w:rPr>
          <w:rFonts w:hint="eastAsia" w:hAnsi="宋体" w:cs="宋体"/>
          <w:snapToGrid w:val="0"/>
        </w:rPr>
        <w:t>(1）投标文件中的大写金额与小写金额不一致的，以大写金额为准（大写金额有明显错误的除外）；</w:t>
      </w:r>
    </w:p>
    <w:p>
      <w:pPr>
        <w:adjustRightInd w:val="0"/>
        <w:snapToGrid w:val="0"/>
        <w:spacing w:line="360" w:lineRule="auto"/>
        <w:ind w:firstLine="480" w:firstLineChars="200"/>
        <w:rPr>
          <w:rFonts w:hAnsi="宋体" w:cs="宋体"/>
          <w:snapToGrid w:val="0"/>
        </w:rPr>
      </w:pPr>
      <w:r>
        <w:rPr>
          <w:rFonts w:hint="eastAsia" w:hAnsi="宋体" w:cs="宋体"/>
          <w:snapToGrid w:val="0"/>
        </w:rPr>
        <w:t>(2）总价金额与依据单价计算出的结果不一致的，以单价金额为准修正总价，但单价金额小数点有明显错误的除外。</w:t>
      </w:r>
    </w:p>
    <w:p>
      <w:pPr>
        <w:adjustRightInd w:val="0"/>
        <w:snapToGrid w:val="0"/>
        <w:spacing w:line="360" w:lineRule="auto"/>
        <w:rPr>
          <w:rFonts w:hAnsi="宋体" w:cs="宋体"/>
          <w:b/>
          <w:bCs/>
          <w:snapToGrid w:val="0"/>
        </w:rPr>
      </w:pPr>
      <w:r>
        <w:rPr>
          <w:rFonts w:hint="eastAsia" w:hAnsi="宋体" w:cs="宋体"/>
          <w:b/>
          <w:bCs/>
          <w:snapToGrid w:val="0"/>
        </w:rPr>
        <w:t>3.2 详细评审</w:t>
      </w:r>
    </w:p>
    <w:p>
      <w:pPr>
        <w:adjustRightInd w:val="0"/>
        <w:snapToGrid w:val="0"/>
        <w:spacing w:line="360" w:lineRule="auto"/>
        <w:ind w:firstLine="480" w:firstLineChars="200"/>
        <w:rPr>
          <w:rFonts w:hAnsi="宋体" w:cs="宋体"/>
          <w:snapToGrid w:val="0"/>
        </w:rPr>
      </w:pPr>
      <w:r>
        <w:rPr>
          <w:rFonts w:hint="eastAsia" w:hAnsi="宋体" w:cs="宋体"/>
          <w:snapToGrid w:val="0"/>
        </w:rPr>
        <w:t>3.2.1 评标委员会按本章评分办法规定的量化因素和分值进行打分，并计算出综合评估得分。</w:t>
      </w:r>
    </w:p>
    <w:p>
      <w:pPr>
        <w:adjustRightInd w:val="0"/>
        <w:snapToGrid w:val="0"/>
        <w:spacing w:line="360" w:lineRule="auto"/>
        <w:ind w:firstLine="480" w:firstLineChars="200"/>
        <w:rPr>
          <w:rFonts w:hAnsi="宋体" w:cs="宋体"/>
          <w:snapToGrid w:val="0"/>
        </w:rPr>
      </w:pPr>
      <w:r>
        <w:rPr>
          <w:rFonts w:hint="eastAsia" w:hAnsi="宋体" w:cs="宋体"/>
          <w:snapToGrid w:val="0"/>
        </w:rPr>
        <w:t>3.2.2 评分分值计算保留小数点后两位，小数点后第三位“四舍五入”。</w:t>
      </w:r>
    </w:p>
    <w:p>
      <w:pPr>
        <w:adjustRightInd w:val="0"/>
        <w:snapToGrid w:val="0"/>
        <w:spacing w:line="360" w:lineRule="auto"/>
        <w:ind w:firstLine="480" w:firstLineChars="200"/>
        <w:rPr>
          <w:rFonts w:ascii="宋体" w:hAnsi="宋体" w:cs="宋体"/>
        </w:rPr>
      </w:pPr>
      <w:r>
        <w:rPr>
          <w:rFonts w:hint="eastAsia" w:hAnsi="宋体" w:cs="宋体"/>
          <w:snapToGrid w:val="0"/>
        </w:rPr>
        <w:t>3.2.3供应商得分=报价得分+技术部分+商务部分</w:t>
      </w:r>
    </w:p>
    <w:p>
      <w:pPr>
        <w:spacing w:line="340" w:lineRule="exact"/>
        <w:rPr>
          <w:rFonts w:hAnsi="宋体" w:cs="宋体"/>
          <w:b/>
          <w:bCs/>
        </w:rPr>
      </w:pPr>
      <w:r>
        <w:rPr>
          <w:rFonts w:hint="eastAsia" w:hAnsi="宋体" w:cs="宋体"/>
          <w:b/>
          <w:bCs/>
        </w:rPr>
        <w:t>3.3 投标文件的澄清和补正</w:t>
      </w:r>
    </w:p>
    <w:p>
      <w:pPr>
        <w:adjustRightInd w:val="0"/>
        <w:snapToGrid w:val="0"/>
        <w:spacing w:line="360" w:lineRule="auto"/>
        <w:ind w:firstLine="480" w:firstLineChars="200"/>
        <w:rPr>
          <w:rFonts w:hAnsi="宋体" w:cs="宋体"/>
          <w:snapToGrid w:val="0"/>
        </w:rPr>
      </w:pPr>
      <w:r>
        <w:rPr>
          <w:rFonts w:hint="eastAsia" w:hAnsi="宋体" w:cs="宋体"/>
          <w:snapToGrid w:val="0"/>
        </w:rPr>
        <w:t>3.3.1 在评标过程中，评标委员会可以书面形式要求供应商对所提交投标文件中不明确的内容进行书面澄清或说明，或者对细微偏差进行补正。评标委员会不接受供应商主动提出的澄清、说明或补正。</w:t>
      </w:r>
    </w:p>
    <w:p>
      <w:pPr>
        <w:adjustRightInd w:val="0"/>
        <w:snapToGrid w:val="0"/>
        <w:spacing w:line="360" w:lineRule="auto"/>
        <w:ind w:firstLine="480" w:firstLineChars="200"/>
        <w:rPr>
          <w:rFonts w:hAnsi="宋体" w:cs="宋体"/>
          <w:snapToGrid w:val="0"/>
        </w:rPr>
      </w:pPr>
      <w:r>
        <w:rPr>
          <w:rFonts w:hint="eastAsia" w:hAnsi="宋体" w:cs="宋体"/>
          <w:snapToGrid w:val="0"/>
        </w:rPr>
        <w:t>3.3.2 澄清、说明和补正不得改变投标文件的实质性内容（算术性错误修正的除外）。供应商的书面澄清、说明和补正属于投标文件的组成部分。</w:t>
      </w:r>
    </w:p>
    <w:p>
      <w:pPr>
        <w:adjustRightInd w:val="0"/>
        <w:snapToGrid w:val="0"/>
        <w:spacing w:line="360" w:lineRule="auto"/>
        <w:ind w:firstLine="480" w:firstLineChars="200"/>
        <w:rPr>
          <w:rFonts w:hAnsi="宋体" w:cs="宋体"/>
          <w:snapToGrid w:val="0"/>
        </w:rPr>
      </w:pPr>
      <w:r>
        <w:rPr>
          <w:rFonts w:hint="eastAsia" w:hAnsi="宋体" w:cs="宋体"/>
          <w:snapToGrid w:val="0"/>
        </w:rPr>
        <w:t>3.3.3 评标委员会对供应商提交的澄清、说明或补正有疑问的，可以要求供应商进一步澄清、说明或补正，直至满足评标委员会的要求。</w:t>
      </w:r>
    </w:p>
    <w:p>
      <w:pPr>
        <w:spacing w:line="340" w:lineRule="exact"/>
        <w:rPr>
          <w:rFonts w:hAnsi="宋体" w:cs="宋体"/>
          <w:b/>
          <w:bCs/>
        </w:rPr>
      </w:pPr>
      <w:r>
        <w:rPr>
          <w:rFonts w:hint="eastAsia" w:hAnsi="宋体" w:cs="宋体"/>
          <w:b/>
          <w:bCs/>
        </w:rPr>
        <w:t>3.4 评标结果</w:t>
      </w:r>
    </w:p>
    <w:p>
      <w:pPr>
        <w:adjustRightInd w:val="0"/>
        <w:snapToGrid w:val="0"/>
        <w:spacing w:line="360" w:lineRule="auto"/>
        <w:ind w:firstLine="480" w:firstLineChars="200"/>
        <w:rPr>
          <w:rFonts w:hAnsi="宋体" w:cs="宋体"/>
          <w:snapToGrid w:val="0"/>
        </w:rPr>
      </w:pPr>
      <w:r>
        <w:rPr>
          <w:rFonts w:hint="eastAsia" w:hAnsi="宋体" w:cs="宋体"/>
          <w:snapToGrid w:val="0"/>
        </w:rPr>
        <w:t>3.4.1评审总得分由高到低排序确定中标供应商。得分相同时，按投标报价由低到高排序。得分且投标报价相同的，按技术指标优劣顺序排列</w:t>
      </w:r>
    </w:p>
    <w:p>
      <w:pPr>
        <w:adjustRightInd w:val="0"/>
        <w:snapToGrid w:val="0"/>
        <w:spacing w:line="360" w:lineRule="auto"/>
        <w:ind w:firstLine="480" w:firstLineChars="200"/>
        <w:rPr>
          <w:rFonts w:hAnsi="宋体" w:cs="宋体"/>
          <w:snapToGrid w:val="0"/>
        </w:rPr>
      </w:pPr>
      <w:r>
        <w:rPr>
          <w:rFonts w:hint="eastAsia" w:hAnsi="宋体" w:cs="宋体"/>
          <w:snapToGrid w:val="0"/>
        </w:rPr>
        <w:t>3.4.2 评标委员会完成评标后，由应当向采购人提交书面评标报告。评标结果将在采购公告发布的网站上公示。</w:t>
      </w:r>
    </w:p>
    <w:p/>
    <w:p>
      <w:bookmarkStart w:id="82" w:name="_TOC_250000"/>
      <w:bookmarkStart w:id="83" w:name="_Toc21752"/>
    </w:p>
    <w:p>
      <w:pPr>
        <w:pStyle w:val="3"/>
        <w:spacing w:before="143" w:line="240" w:lineRule="auto"/>
        <w:ind w:right="11"/>
        <w:jc w:val="center"/>
        <w:rPr>
          <w:b w:val="0"/>
        </w:rPr>
      </w:pPr>
      <w:bookmarkStart w:id="84" w:name="_Toc5918"/>
      <w:r>
        <w:t>第</w:t>
      </w:r>
      <w:r>
        <w:rPr>
          <w:rFonts w:hint="eastAsia"/>
        </w:rPr>
        <w:t>六</w:t>
      </w:r>
      <w:r>
        <w:t>章</w:t>
      </w:r>
      <w:r>
        <w:rPr>
          <w:rFonts w:hint="eastAsia"/>
        </w:rPr>
        <w:t>响应</w:t>
      </w:r>
      <w:r>
        <w:t>文件格式</w:t>
      </w:r>
      <w:bookmarkEnd w:id="82"/>
      <w:bookmarkEnd w:id="83"/>
      <w:bookmarkEnd w:id="84"/>
    </w:p>
    <w:p>
      <w:pPr>
        <w:rPr>
          <w:rFonts w:ascii="宋体" w:hAnsi="宋体" w:cs="宋体"/>
          <w:b/>
          <w:bCs/>
          <w:sz w:val="42"/>
          <w:szCs w:val="42"/>
        </w:rPr>
      </w:pPr>
    </w:p>
    <w:p>
      <w:pPr>
        <w:spacing w:before="9"/>
        <w:rPr>
          <w:rFonts w:ascii="宋体" w:hAnsi="宋体" w:cs="宋体"/>
          <w:b/>
          <w:bCs/>
          <w:sz w:val="31"/>
          <w:szCs w:val="31"/>
        </w:rPr>
      </w:pPr>
    </w:p>
    <w:p>
      <w:pPr>
        <w:tabs>
          <w:tab w:val="left" w:pos="4262"/>
          <w:tab w:val="left" w:pos="6605"/>
        </w:tabs>
        <w:ind w:right="9"/>
        <w:jc w:val="center"/>
        <w:rPr>
          <w:rFonts w:ascii="宋体" w:hAnsi="宋体" w:cs="宋体"/>
          <w:sz w:val="27"/>
          <w:szCs w:val="27"/>
        </w:rPr>
      </w:pPr>
      <w:r>
        <w:rPr>
          <w:rFonts w:ascii="Times New Roman" w:hAnsi="Times New Roman" w:eastAsia="Times New Roman" w:cs="Times New Roman"/>
          <w:b/>
          <w:bCs/>
          <w:sz w:val="27"/>
          <w:szCs w:val="27"/>
          <w:u w:val="single" w:color="000000"/>
        </w:rPr>
        <w:tab/>
      </w:r>
      <w:r>
        <w:rPr>
          <w:rFonts w:ascii="宋体" w:hAnsi="宋体" w:cs="宋体"/>
          <w:b/>
          <w:bCs/>
          <w:spacing w:val="2"/>
          <w:sz w:val="27"/>
          <w:szCs w:val="27"/>
        </w:rPr>
        <w:t>（项目名称）</w:t>
      </w: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tabs>
          <w:tab w:val="left" w:pos="1411"/>
          <w:tab w:val="left" w:pos="2823"/>
          <w:tab w:val="left" w:pos="4234"/>
        </w:tabs>
        <w:spacing w:before="22"/>
        <w:ind w:right="9"/>
        <w:jc w:val="center"/>
        <w:rPr>
          <w:rFonts w:ascii="宋体" w:hAnsi="宋体" w:cs="宋体"/>
          <w:sz w:val="70"/>
          <w:szCs w:val="70"/>
        </w:rPr>
      </w:pPr>
      <w:r>
        <w:rPr>
          <w:rFonts w:hint="eastAsia" w:ascii="宋体" w:hAnsi="宋体" w:cs="宋体"/>
          <w:sz w:val="70"/>
          <w:szCs w:val="70"/>
        </w:rPr>
        <w:t>响应</w:t>
      </w:r>
      <w:r>
        <w:rPr>
          <w:rFonts w:ascii="宋体" w:hAnsi="宋体" w:cs="宋体"/>
          <w:sz w:val="70"/>
          <w:szCs w:val="70"/>
        </w:rPr>
        <w:tab/>
      </w:r>
      <w:r>
        <w:rPr>
          <w:rFonts w:ascii="宋体" w:hAnsi="宋体" w:cs="宋体"/>
          <w:sz w:val="70"/>
          <w:szCs w:val="70"/>
        </w:rPr>
        <w:t>文件</w:t>
      </w:r>
    </w:p>
    <w:p>
      <w:pPr>
        <w:spacing w:before="8"/>
        <w:rPr>
          <w:rFonts w:ascii="宋体" w:hAnsi="宋体" w:cs="宋体"/>
          <w:sz w:val="61"/>
          <w:szCs w:val="61"/>
        </w:rPr>
      </w:pPr>
    </w:p>
    <w:p>
      <w:pPr>
        <w:pStyle w:val="11"/>
        <w:spacing w:before="163"/>
        <w:ind w:right="139" w:firstLine="3220" w:firstLineChars="1400"/>
        <w:jc w:val="left"/>
        <w:rPr>
          <w:rFonts w:cs="宋体"/>
        </w:rPr>
      </w:pPr>
      <w:r>
        <w:rPr>
          <w:rFonts w:cs="宋体"/>
        </w:rPr>
        <w:t xml:space="preserve">采购编号：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tabs>
          <w:tab w:val="left" w:pos="7481"/>
        </w:tabs>
        <w:spacing w:before="197"/>
        <w:ind w:left="1383" w:right="139"/>
        <w:jc w:val="left"/>
        <w:rPr>
          <w:rFonts w:ascii="Times New Roman" w:hAnsi="Times New Roman" w:cs="Times New Roman"/>
          <w:sz w:val="27"/>
          <w:szCs w:val="27"/>
        </w:rPr>
      </w:pPr>
      <w:r>
        <w:rPr>
          <w:rFonts w:hint="eastAsia" w:ascii="宋体" w:hAnsi="宋体" w:cs="宋体"/>
          <w:sz w:val="27"/>
          <w:szCs w:val="27"/>
        </w:rPr>
        <w:t>供应商</w:t>
      </w:r>
      <w:r>
        <w:rPr>
          <w:rFonts w:ascii="宋体" w:hAnsi="宋体" w:cs="宋体"/>
          <w:sz w:val="27"/>
          <w:szCs w:val="27"/>
        </w:rPr>
        <w:t>：（盖章）</w:t>
      </w:r>
      <w:r>
        <w:rPr>
          <w:rFonts w:ascii="Times New Roman" w:hAnsi="Times New Roman" w:eastAsia="Times New Roman" w:cs="Times New Roman"/>
          <w:sz w:val="27"/>
          <w:szCs w:val="27"/>
          <w:u w:val="single" w:color="000000"/>
        </w:rPr>
        <w:tab/>
      </w:r>
    </w:p>
    <w:p>
      <w:pPr>
        <w:spacing w:before="9"/>
        <w:rPr>
          <w:rFonts w:ascii="Times New Roman" w:hAnsi="Times New Roman" w:eastAsia="Times New Roman" w:cs="Times New Roman"/>
          <w:sz w:val="20"/>
          <w:szCs w:val="20"/>
        </w:rPr>
      </w:pPr>
    </w:p>
    <w:p>
      <w:pPr>
        <w:tabs>
          <w:tab w:val="left" w:pos="8445"/>
        </w:tabs>
        <w:spacing w:before="18"/>
        <w:ind w:left="1383" w:right="139"/>
        <w:jc w:val="left"/>
        <w:rPr>
          <w:rFonts w:ascii="Times New Roman" w:hAnsi="Times New Roman" w:eastAsia="Times New Roman" w:cs="Times New Roman"/>
          <w:sz w:val="27"/>
          <w:szCs w:val="27"/>
        </w:rPr>
      </w:pPr>
      <w:r>
        <w:rPr>
          <w:rFonts w:ascii="宋体" w:hAnsi="宋体" w:cs="宋体"/>
          <w:sz w:val="27"/>
          <w:szCs w:val="27"/>
        </w:rPr>
        <w:t>法定代表人（或委托代理人）：</w:t>
      </w:r>
      <w:r>
        <w:rPr>
          <w:rFonts w:ascii="宋体" w:hAnsi="宋体" w:cs="宋体"/>
          <w:sz w:val="27"/>
          <w:szCs w:val="27"/>
          <w:u w:val="single" w:color="000000"/>
        </w:rPr>
        <w:t>（签字或盖章）</w:t>
      </w:r>
      <w:r>
        <w:rPr>
          <w:rFonts w:ascii="Times New Roman" w:hAnsi="Times New Roman" w:eastAsia="Times New Roman" w:cs="Times New Roman"/>
          <w:sz w:val="27"/>
          <w:szCs w:val="27"/>
          <w:u w:val="single" w:color="000000"/>
        </w:rPr>
        <w:tab/>
      </w:r>
    </w:p>
    <w:p>
      <w:pPr>
        <w:spacing w:before="10"/>
        <w:rPr>
          <w:rFonts w:ascii="Times New Roman" w:hAnsi="Times New Roman" w:eastAsia="Times New Roman" w:cs="Times New Roman"/>
          <w:sz w:val="20"/>
          <w:szCs w:val="20"/>
        </w:rPr>
      </w:pPr>
    </w:p>
    <w:p>
      <w:pPr>
        <w:tabs>
          <w:tab w:val="left" w:pos="3856"/>
          <w:tab w:val="left" w:pos="4819"/>
          <w:tab w:val="left" w:pos="5775"/>
        </w:tabs>
        <w:spacing w:before="18"/>
        <w:ind w:left="2892" w:right="139"/>
        <w:jc w:val="left"/>
        <w:rPr>
          <w:rFonts w:ascii="宋体" w:hAnsi="宋体" w:cs="宋体"/>
          <w:sz w:val="27"/>
          <w:szCs w:val="27"/>
        </w:rPr>
      </w:pPr>
      <w:r>
        <w:rPr>
          <w:rFonts w:ascii="Times New Roman" w:hAnsi="Times New Roman" w:eastAsia="Times New Roman" w:cs="Times New Roman"/>
          <w:sz w:val="27"/>
          <w:szCs w:val="27"/>
          <w:u w:val="single" w:color="000000"/>
        </w:rPr>
        <w:tab/>
      </w:r>
      <w:r>
        <w:rPr>
          <w:rFonts w:ascii="宋体" w:hAnsi="宋体" w:cs="宋体"/>
          <w:sz w:val="27"/>
          <w:szCs w:val="27"/>
        </w:rPr>
        <w:t>年</w:t>
      </w:r>
      <w:r>
        <w:rPr>
          <w:rFonts w:ascii="Times New Roman" w:hAnsi="Times New Roman" w:eastAsia="Times New Roman" w:cs="Times New Roman"/>
          <w:sz w:val="27"/>
          <w:szCs w:val="27"/>
          <w:u w:val="single" w:color="000000"/>
        </w:rPr>
        <w:tab/>
      </w:r>
      <w:r>
        <w:rPr>
          <w:rFonts w:ascii="宋体" w:hAnsi="宋体" w:cs="宋体"/>
          <w:spacing w:val="-6"/>
          <w:sz w:val="27"/>
          <w:szCs w:val="27"/>
        </w:rPr>
        <w:t>月</w:t>
      </w:r>
      <w:r>
        <w:rPr>
          <w:rFonts w:ascii="Times New Roman" w:hAnsi="Times New Roman" w:eastAsia="Times New Roman" w:cs="Times New Roman"/>
          <w:spacing w:val="-6"/>
          <w:sz w:val="27"/>
          <w:szCs w:val="27"/>
          <w:u w:val="single" w:color="000000"/>
        </w:rPr>
        <w:tab/>
      </w:r>
      <w:r>
        <w:rPr>
          <w:rFonts w:ascii="宋体" w:hAnsi="宋体" w:cs="宋体"/>
          <w:sz w:val="27"/>
          <w:szCs w:val="27"/>
        </w:rPr>
        <w:t>日</w:t>
      </w:r>
    </w:p>
    <w:p>
      <w:pPr>
        <w:jc w:val="left"/>
        <w:rPr>
          <w:rFonts w:ascii="宋体" w:hAnsi="宋体" w:cs="宋体"/>
          <w:sz w:val="27"/>
          <w:szCs w:val="27"/>
        </w:rPr>
        <w:sectPr>
          <w:pgSz w:w="11680" w:h="16560"/>
          <w:pgMar w:top="1440" w:right="1080" w:bottom="1440" w:left="1080" w:header="152" w:footer="1173" w:gutter="0"/>
          <w:cols w:space="720" w:num="1"/>
        </w:sectPr>
      </w:pPr>
    </w:p>
    <w:p>
      <w:pPr>
        <w:spacing w:before="13"/>
        <w:ind w:right="5"/>
        <w:jc w:val="center"/>
        <w:rPr>
          <w:rFonts w:ascii="宋体" w:hAnsi="宋体" w:cs="宋体"/>
          <w:sz w:val="29"/>
          <w:szCs w:val="29"/>
        </w:rPr>
      </w:pPr>
      <w:r>
        <w:rPr>
          <w:rFonts w:ascii="宋体" w:hAnsi="宋体" w:cs="宋体"/>
          <w:b/>
          <w:bCs/>
          <w:sz w:val="29"/>
          <w:szCs w:val="29"/>
        </w:rPr>
        <w:t>目录</w:t>
      </w:r>
    </w:p>
    <w:p>
      <w:pPr>
        <w:pStyle w:val="11"/>
        <w:spacing w:before="198"/>
        <w:ind w:right="139"/>
        <w:jc w:val="left"/>
      </w:pPr>
      <w:r>
        <w:rPr>
          <w:rFonts w:cs="宋体"/>
        </w:rPr>
        <w:t>1.</w:t>
      </w:r>
      <w:r>
        <w:t>投标函</w:t>
      </w:r>
    </w:p>
    <w:p>
      <w:pPr>
        <w:pStyle w:val="11"/>
        <w:spacing w:before="163"/>
        <w:ind w:right="139"/>
        <w:jc w:val="left"/>
      </w:pPr>
      <w:r>
        <w:rPr>
          <w:rFonts w:cs="宋体"/>
        </w:rPr>
        <w:t>2.</w:t>
      </w:r>
      <w:r>
        <w:t>投标报价一览表</w:t>
      </w:r>
    </w:p>
    <w:p>
      <w:pPr>
        <w:pStyle w:val="11"/>
        <w:spacing w:before="155"/>
        <w:ind w:right="139"/>
        <w:jc w:val="left"/>
      </w:pPr>
      <w:r>
        <w:rPr>
          <w:rFonts w:cs="宋体"/>
        </w:rPr>
        <w:t>3.</w:t>
      </w:r>
      <w:r>
        <w:t>法定代表人身份证明</w:t>
      </w:r>
    </w:p>
    <w:p>
      <w:pPr>
        <w:pStyle w:val="11"/>
        <w:spacing w:before="198"/>
        <w:ind w:right="139"/>
        <w:jc w:val="left"/>
        <w:rPr>
          <w:rFonts w:cs="宋体"/>
        </w:rPr>
      </w:pPr>
      <w:r>
        <w:rPr>
          <w:rFonts w:cs="宋体"/>
        </w:rPr>
        <w:t>4.</w:t>
      </w:r>
      <w:r>
        <w:t>授权委托书</w:t>
      </w:r>
    </w:p>
    <w:p>
      <w:pPr>
        <w:pStyle w:val="11"/>
        <w:spacing w:before="198"/>
        <w:ind w:right="139"/>
        <w:jc w:val="left"/>
        <w:rPr>
          <w:rFonts w:cs="宋体"/>
        </w:rPr>
      </w:pPr>
      <w:r>
        <w:rPr>
          <w:rFonts w:cs="宋体"/>
        </w:rPr>
        <w:t>5.</w:t>
      </w:r>
      <w:r>
        <w:rPr>
          <w:rFonts w:hint="eastAsia" w:cs="宋体"/>
        </w:rPr>
        <w:t>报价明细表</w:t>
      </w:r>
    </w:p>
    <w:p>
      <w:pPr>
        <w:pStyle w:val="11"/>
        <w:spacing w:before="198"/>
        <w:ind w:right="139"/>
        <w:jc w:val="left"/>
        <w:rPr>
          <w:rFonts w:cs="宋体"/>
        </w:rPr>
      </w:pPr>
      <w:r>
        <w:rPr>
          <w:rFonts w:cs="宋体"/>
        </w:rPr>
        <w:t>6.</w:t>
      </w:r>
      <w:r>
        <w:rPr>
          <w:rFonts w:cs="宋体"/>
        </w:rPr>
        <w:tab/>
      </w:r>
      <w:r>
        <w:t>技术响应表</w:t>
      </w:r>
    </w:p>
    <w:p>
      <w:pPr>
        <w:pStyle w:val="11"/>
        <w:spacing w:before="198"/>
        <w:ind w:right="139"/>
        <w:jc w:val="left"/>
      </w:pPr>
      <w:r>
        <w:rPr>
          <w:rFonts w:cs="宋体"/>
        </w:rPr>
        <w:t>7.</w:t>
      </w:r>
      <w:r>
        <w:rPr>
          <w:rFonts w:cs="宋体"/>
        </w:rPr>
        <w:tab/>
      </w:r>
      <w:r>
        <w:rPr>
          <w:rFonts w:hint="eastAsia"/>
        </w:rPr>
        <w:t>供应商</w:t>
      </w:r>
      <w:r>
        <w:t>资格审查资料</w:t>
      </w:r>
    </w:p>
    <w:p>
      <w:pPr>
        <w:pStyle w:val="11"/>
        <w:spacing w:before="198"/>
        <w:ind w:right="139"/>
        <w:jc w:val="left"/>
      </w:pPr>
      <w:r>
        <w:rPr>
          <w:rFonts w:hint="eastAsia"/>
        </w:rPr>
        <w:t>8.其它资料</w:t>
      </w:r>
    </w:p>
    <w:p>
      <w:pPr>
        <w:pStyle w:val="11"/>
        <w:spacing w:before="198"/>
        <w:ind w:right="139"/>
        <w:jc w:val="left"/>
      </w:pPr>
    </w:p>
    <w:p>
      <w:pPr>
        <w:spacing w:before="7"/>
        <w:rPr>
          <w:rFonts w:ascii="宋体" w:hAnsi="宋体" w:cs="宋体"/>
          <w:sz w:val="17"/>
          <w:szCs w:val="17"/>
        </w:rPr>
      </w:pPr>
    </w:p>
    <w:p>
      <w:pPr>
        <w:rPr>
          <w:rFonts w:ascii="宋体" w:hAnsi="宋体" w:cs="宋体"/>
          <w:w w:val="105"/>
          <w:sz w:val="20"/>
          <w:szCs w:val="20"/>
        </w:rPr>
      </w:pPr>
      <w:r>
        <w:rPr>
          <w:rFonts w:hint="eastAsia" w:ascii="宋体" w:hAnsi="宋体" w:cs="宋体"/>
          <w:w w:val="105"/>
          <w:sz w:val="20"/>
          <w:szCs w:val="20"/>
        </w:rPr>
        <w:br w:type="page"/>
      </w:r>
    </w:p>
    <w:p>
      <w:pPr>
        <w:jc w:val="center"/>
        <w:rPr>
          <w:b/>
          <w:bCs/>
        </w:rPr>
      </w:pPr>
      <w:r>
        <w:rPr>
          <w:b/>
          <w:bCs/>
        </w:rPr>
        <w:t>一、投标函</w:t>
      </w:r>
    </w:p>
    <w:p>
      <w:pPr>
        <w:pStyle w:val="26"/>
        <w:keepNext w:val="0"/>
        <w:keepLines w:val="0"/>
        <w:widowControl/>
        <w:suppressLineNumbers w:val="0"/>
        <w:spacing w:line="360" w:lineRule="auto"/>
        <w:jc w:val="both"/>
        <w:rPr>
          <w:rStyle w:val="31"/>
          <w:rFonts w:hint="eastAsia" w:ascii="宋体" w:hAnsi="宋体" w:eastAsia="宋体" w:cs="宋体"/>
          <w:sz w:val="24"/>
          <w:szCs w:val="24"/>
        </w:rPr>
      </w:pPr>
    </w:p>
    <w:p>
      <w:pPr>
        <w:pStyle w:val="26"/>
        <w:keepNext w:val="0"/>
        <w:keepLines w:val="0"/>
        <w:widowControl/>
        <w:suppressLineNumbers w:val="0"/>
        <w:spacing w:line="360" w:lineRule="auto"/>
        <w:jc w:val="both"/>
      </w:pPr>
      <w:r>
        <w:rPr>
          <w:rStyle w:val="31"/>
          <w:rFonts w:hint="eastAsia" w:ascii="宋体" w:hAnsi="宋体" w:eastAsia="宋体" w:cs="宋体"/>
          <w:sz w:val="24"/>
          <w:szCs w:val="24"/>
        </w:rPr>
        <w:t>致：（采购代理机构）</w:t>
      </w:r>
    </w:p>
    <w:p>
      <w:pPr>
        <w:pStyle w:val="26"/>
        <w:keepNext w:val="0"/>
        <w:keepLines w:val="0"/>
        <w:widowControl/>
        <w:suppressLineNumbers w:val="0"/>
        <w:spacing w:line="360" w:lineRule="auto"/>
        <w:ind w:firstLine="480" w:firstLineChars="200"/>
        <w:jc w:val="both"/>
        <w:rPr>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（项目名称、</w:t>
      </w:r>
      <w:r>
        <w:rPr>
          <w:rFonts w:hint="eastAsia" w:ascii="宋体" w:hAnsi="宋体" w:cs="宋体"/>
          <w:sz w:val="24"/>
          <w:szCs w:val="24"/>
          <w:lang w:eastAsia="zh-CN"/>
        </w:rPr>
        <w:t>采购</w:t>
      </w:r>
      <w:r>
        <w:rPr>
          <w:rFonts w:hint="eastAsia" w:ascii="宋体" w:hAnsi="宋体" w:eastAsia="宋体" w:cs="宋体"/>
          <w:sz w:val="24"/>
          <w:szCs w:val="24"/>
        </w:rPr>
        <w:t>编号）采购的招标公告及投标邀请，（姓名和职务）被正式授权并代表投标人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（投标人名称）提交。</w:t>
      </w:r>
    </w:p>
    <w:p>
      <w:pPr>
        <w:pStyle w:val="26"/>
        <w:keepNext w:val="0"/>
        <w:keepLines w:val="0"/>
        <w:widowControl/>
        <w:suppressLineNumbers w:val="0"/>
        <w:spacing w:line="360" w:lineRule="auto"/>
        <w:ind w:firstLine="480" w:firstLineChars="200"/>
        <w:jc w:val="both"/>
        <w:rPr>
          <w:sz w:val="24"/>
          <w:szCs w:val="24"/>
        </w:rPr>
      </w:pPr>
      <w:r>
        <w:rPr>
          <w:rFonts w:hint="eastAsia" w:ascii="宋体" w:hAnsi="宋体" w:eastAsia="宋体" w:cs="宋体"/>
          <w:sz w:val="24"/>
          <w:szCs w:val="24"/>
        </w:rPr>
        <w:t>我方确认收到贵方提供的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（项目名称、</w:t>
      </w:r>
      <w:r>
        <w:rPr>
          <w:rFonts w:hint="eastAsia" w:ascii="宋体" w:hAnsi="宋体" w:cs="宋体"/>
          <w:sz w:val="24"/>
          <w:szCs w:val="24"/>
          <w:lang w:eastAsia="zh-CN"/>
        </w:rPr>
        <w:t>采购</w:t>
      </w:r>
      <w:r>
        <w:rPr>
          <w:rFonts w:hint="eastAsia" w:ascii="宋体" w:hAnsi="宋体" w:eastAsia="宋体" w:cs="宋体"/>
          <w:sz w:val="24"/>
          <w:szCs w:val="24"/>
        </w:rPr>
        <w:t>编号）招标文件的全部内容。</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我方已完全明白招标文件的所有条款要求，并申明如下：</w:t>
      </w:r>
    </w:p>
    <w:p>
      <w:pPr>
        <w:pStyle w:val="26"/>
        <w:keepNext w:val="0"/>
        <w:keepLines w:val="0"/>
        <w:widowControl/>
        <w:suppressLineNumbers w:val="0"/>
        <w:spacing w:line="360" w:lineRule="auto"/>
        <w:ind w:left="0" w:firstLine="480"/>
        <w:jc w:val="both"/>
        <w:rPr>
          <w:rFonts w:hint="eastAsia" w:eastAsia="宋体"/>
          <w:sz w:val="24"/>
          <w:szCs w:val="24"/>
          <w:u w:val="single"/>
          <w:lang w:val="en-US" w:eastAsia="zh-CN"/>
        </w:rPr>
      </w:pPr>
      <w:r>
        <w:rPr>
          <w:rFonts w:hint="eastAsia" w:ascii="宋体" w:hAnsi="宋体" w:eastAsia="宋体" w:cs="宋体"/>
          <w:sz w:val="24"/>
          <w:szCs w:val="24"/>
        </w:rPr>
        <w:t>一、按招标文件提供的全部货物与相关服务的投标总报价大写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二、本投标文件的有效期为投标截止时间起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三、我方明白并同意，在规定的开标日之后，投标有效期之内撤销投标的，则贵方将不予退还投标保证金。</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四、我方同意按照贵方可能提出的要求而提供与投标有关的任何其它数据、信息或资料。</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五、我方理解贵方不一定接受最低投标价或任何贵方可能收到的投标。</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六、我方如果中标，将保证履行招标文件及其澄清、修改文件（如果有）中的全部责任和义务，按质、按量、按期完成《项目需求》及《合同书》中的全部任务。</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七、我方在此保证所提交的所有文件和全部说明是真实的和正确的。</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九、我方具备《政府采购法》第二十二条规定的条件；承诺如下：</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（1）具有独立承担民事责任能力的在中华人民共和国境内注册的法人或其他组织或自然人，有效的营业执照（或事业法人登记证或身份证等相关证明）。</w:t>
      </w:r>
    </w:p>
    <w:p>
      <w:pPr>
        <w:pStyle w:val="26"/>
        <w:keepNext w:val="0"/>
        <w:keepLines w:val="0"/>
        <w:widowControl/>
        <w:suppressLineNumbers w:val="0"/>
        <w:spacing w:line="360" w:lineRule="auto"/>
        <w:ind w:left="0" w:firstLine="510"/>
        <w:jc w:val="both"/>
        <w:rPr>
          <w:sz w:val="24"/>
          <w:szCs w:val="24"/>
        </w:rPr>
      </w:pPr>
      <w:r>
        <w:rPr>
          <w:rFonts w:hint="eastAsia" w:ascii="宋体" w:hAnsi="宋体" w:eastAsia="宋体" w:cs="宋体"/>
          <w:sz w:val="24"/>
          <w:szCs w:val="24"/>
        </w:rPr>
        <w:t>（2）我方已依法缴纳了各项税费及社会保险费用，如有需要，可随时向采购人提供近三个月内的相关缴费证明，以便核查。</w:t>
      </w:r>
    </w:p>
    <w:p>
      <w:pPr>
        <w:pStyle w:val="26"/>
        <w:keepNext w:val="0"/>
        <w:keepLines w:val="0"/>
        <w:widowControl/>
        <w:suppressLineNumbers w:val="0"/>
        <w:spacing w:line="360" w:lineRule="auto"/>
        <w:ind w:left="0" w:firstLine="510"/>
        <w:jc w:val="both"/>
        <w:rPr>
          <w:sz w:val="24"/>
          <w:szCs w:val="24"/>
        </w:rPr>
      </w:pPr>
      <w:r>
        <w:rPr>
          <w:rFonts w:hint="eastAsia" w:ascii="宋体" w:hAnsi="宋体" w:eastAsia="宋体" w:cs="宋体"/>
          <w:sz w:val="24"/>
          <w:szCs w:val="24"/>
        </w:rPr>
        <w:t>（3）我方已依法建立健全的财务会计制度，如有需要，可随时向采购人提供相关证明材料，以便核查。</w:t>
      </w:r>
    </w:p>
    <w:p>
      <w:pPr>
        <w:pStyle w:val="26"/>
        <w:keepNext w:val="0"/>
        <w:keepLines w:val="0"/>
        <w:widowControl/>
        <w:suppressLineNumbers w:val="0"/>
        <w:spacing w:line="360" w:lineRule="auto"/>
        <w:ind w:left="0" w:firstLine="510"/>
        <w:jc w:val="both"/>
        <w:rPr>
          <w:sz w:val="24"/>
          <w:szCs w:val="24"/>
        </w:rPr>
      </w:pPr>
      <w:r>
        <w:rPr>
          <w:rFonts w:hint="eastAsia" w:ascii="宋体" w:hAnsi="宋体" w:eastAsia="宋体" w:cs="宋体"/>
          <w:sz w:val="24"/>
          <w:szCs w:val="24"/>
        </w:rPr>
        <w:t>（4）参加政府采购活动前三年内，在经营活动中没有重大违法记录。</w:t>
      </w:r>
    </w:p>
    <w:p>
      <w:pPr>
        <w:pStyle w:val="26"/>
        <w:keepNext w:val="0"/>
        <w:keepLines w:val="0"/>
        <w:widowControl/>
        <w:suppressLineNumbers w:val="0"/>
        <w:spacing w:line="360" w:lineRule="auto"/>
        <w:ind w:left="0" w:firstLine="510"/>
        <w:jc w:val="both"/>
        <w:rPr>
          <w:sz w:val="24"/>
          <w:szCs w:val="24"/>
        </w:rPr>
      </w:pPr>
      <w:r>
        <w:rPr>
          <w:rFonts w:hint="eastAsia" w:ascii="宋体" w:hAnsi="宋体" w:eastAsia="宋体" w:cs="宋体"/>
          <w:sz w:val="24"/>
          <w:szCs w:val="24"/>
        </w:rPr>
        <w:t>（5）符合法律、行政法规规定的其他条件。</w:t>
      </w:r>
    </w:p>
    <w:p>
      <w:pPr>
        <w:pStyle w:val="26"/>
        <w:keepNext w:val="0"/>
        <w:keepLines w:val="0"/>
        <w:widowControl/>
        <w:suppressLineNumbers w:val="0"/>
        <w:spacing w:line="360" w:lineRule="auto"/>
        <w:ind w:left="0" w:firstLine="510"/>
        <w:jc w:val="both"/>
        <w:rPr>
          <w:sz w:val="24"/>
          <w:szCs w:val="24"/>
        </w:rPr>
      </w:pPr>
      <w:r>
        <w:rPr>
          <w:rFonts w:hint="eastAsia" w:ascii="宋体" w:hAnsi="宋体" w:eastAsia="宋体" w:cs="宋体"/>
          <w:sz w:val="24"/>
          <w:szCs w:val="24"/>
        </w:rPr>
        <w:t>以上内容如有虚假或与事实不符的，评审委员会可将我方做无效投标处理，我方愿意承担相应的法律责任。</w:t>
      </w:r>
    </w:p>
    <w:p>
      <w:pPr>
        <w:pStyle w:val="26"/>
        <w:keepNext w:val="0"/>
        <w:keepLines w:val="0"/>
        <w:widowControl/>
        <w:suppressLineNumbers w:val="0"/>
        <w:spacing w:line="360" w:lineRule="auto"/>
        <w:ind w:left="0" w:firstLine="480"/>
        <w:jc w:val="both"/>
        <w:rPr>
          <w:sz w:val="24"/>
          <w:szCs w:val="24"/>
        </w:rPr>
      </w:pPr>
      <w:r>
        <w:rPr>
          <w:rFonts w:hint="eastAsia" w:ascii="宋体" w:hAnsi="宋体" w:eastAsia="宋体" w:cs="宋体"/>
          <w:sz w:val="24"/>
          <w:szCs w:val="24"/>
        </w:rPr>
        <w:t>十、我方具备履行合同所必需的设备和专业技术能力。</w:t>
      </w:r>
    </w:p>
    <w:p>
      <w:pPr>
        <w:pStyle w:val="26"/>
        <w:keepNext w:val="0"/>
        <w:keepLines w:val="0"/>
        <w:widowControl/>
        <w:suppressLineNumbers w:val="0"/>
        <w:spacing w:line="360" w:lineRule="auto"/>
        <w:ind w:left="0" w:firstLine="480"/>
        <w:jc w:val="both"/>
        <w:rPr>
          <w:rFonts w:hint="eastAsia" w:ascii="宋体" w:hAnsi="宋体" w:eastAsia="宋体" w:cs="宋体"/>
          <w:sz w:val="24"/>
          <w:szCs w:val="24"/>
        </w:rPr>
      </w:pPr>
      <w:r>
        <w:rPr>
          <w:rFonts w:hint="eastAsia" w:ascii="宋体" w:hAnsi="宋体" w:eastAsia="宋体" w:cs="宋体"/>
          <w:sz w:val="24"/>
          <w:szCs w:val="24"/>
        </w:rPr>
        <w:t>十一、我方对在本函及投标文件中所作的所有承诺承担法律责任。</w:t>
      </w:r>
    </w:p>
    <w:p>
      <w:pPr>
        <w:pStyle w:val="26"/>
        <w:keepNext w:val="0"/>
        <w:keepLines w:val="0"/>
        <w:widowControl/>
        <w:suppressLineNumbers w:val="0"/>
        <w:spacing w:line="360" w:lineRule="auto"/>
        <w:jc w:val="both"/>
        <w:rPr>
          <w:rFonts w:hint="eastAsia" w:ascii="宋体" w:hAnsi="宋体" w:eastAsia="宋体" w:cs="宋体"/>
          <w:sz w:val="24"/>
          <w:szCs w:val="24"/>
        </w:rPr>
      </w:pP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所有与本招标有关的一切正式往来请寄：</w:t>
      </w: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地    址：         邮政编码：</w:t>
      </w: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电    话：.         传    真：</w:t>
      </w: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投标人代表姓名：   职    务：</w:t>
      </w:r>
    </w:p>
    <w:p>
      <w:pPr>
        <w:pStyle w:val="26"/>
        <w:keepNext w:val="0"/>
        <w:keepLines w:val="0"/>
        <w:widowControl/>
        <w:suppressLineNumbers w:val="0"/>
        <w:spacing w:line="360" w:lineRule="auto"/>
        <w:ind w:left="0" w:firstLine="480"/>
        <w:jc w:val="both"/>
        <w:rPr>
          <w:rFonts w:hint="eastAsia" w:ascii="宋体" w:hAnsi="宋体" w:eastAsia="宋体" w:cs="宋体"/>
          <w:sz w:val="24"/>
          <w:szCs w:val="24"/>
        </w:rPr>
      </w:pPr>
    </w:p>
    <w:p>
      <w:pPr>
        <w:pStyle w:val="26"/>
        <w:keepNext w:val="0"/>
        <w:keepLines w:val="0"/>
        <w:widowControl/>
        <w:suppressLineNumbers w:val="0"/>
        <w:spacing w:line="360" w:lineRule="auto"/>
        <w:rPr>
          <w:sz w:val="24"/>
          <w:szCs w:val="24"/>
        </w:rPr>
      </w:pP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投标人法定代表人（或法定代表人授权代表）签字或盖章：</w:t>
      </w:r>
    </w:p>
    <w:p>
      <w:pPr>
        <w:pStyle w:val="26"/>
        <w:keepNext w:val="0"/>
        <w:keepLines w:val="0"/>
        <w:widowControl/>
        <w:suppressLineNumbers w:val="0"/>
        <w:spacing w:line="360" w:lineRule="auto"/>
        <w:jc w:val="both"/>
        <w:rPr>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lang w:eastAsia="zh-CN"/>
        </w:rPr>
        <w:t>：</w:t>
      </w:r>
      <w:r>
        <w:rPr>
          <w:rFonts w:hint="eastAsia" w:ascii="宋体" w:hAnsi="宋体" w:eastAsia="宋体" w:cs="宋体"/>
          <w:sz w:val="24"/>
          <w:szCs w:val="24"/>
        </w:rPr>
        <w:t> </w:t>
      </w:r>
    </w:p>
    <w:p>
      <w:pPr>
        <w:pStyle w:val="26"/>
        <w:keepNext w:val="0"/>
        <w:keepLines w:val="0"/>
        <w:widowControl/>
        <w:suppressLineNumbers w:val="0"/>
        <w:spacing w:line="360" w:lineRule="auto"/>
        <w:ind w:left="0" w:firstLine="4920"/>
        <w:jc w:val="both"/>
        <w:rPr>
          <w:sz w:val="24"/>
          <w:szCs w:val="24"/>
        </w:rPr>
      </w:pPr>
      <w:r>
        <w:rPr>
          <w:rFonts w:hint="eastAsia" w:ascii="宋体" w:hAnsi="宋体" w:eastAsia="宋体" w:cs="宋体"/>
          <w:sz w:val="24"/>
          <w:szCs w:val="24"/>
        </w:rPr>
        <w:t>日期：    </w:t>
      </w:r>
    </w:p>
    <w:p>
      <w:pPr>
        <w:rPr>
          <w:b/>
          <w:bCs/>
          <w:sz w:val="24"/>
          <w:szCs w:val="24"/>
        </w:rPr>
      </w:pPr>
      <w:r>
        <w:rPr>
          <w:b/>
          <w:bCs/>
          <w:sz w:val="24"/>
          <w:szCs w:val="24"/>
        </w:rPr>
        <w:br w:type="page"/>
      </w:r>
    </w:p>
    <w:p>
      <w:pPr>
        <w:numPr>
          <w:ilvl w:val="0"/>
          <w:numId w:val="8"/>
        </w:numPr>
        <w:jc w:val="center"/>
        <w:rPr>
          <w:b/>
          <w:bCs/>
          <w:sz w:val="24"/>
          <w:szCs w:val="24"/>
        </w:rPr>
      </w:pPr>
      <w:r>
        <w:rPr>
          <w:b/>
          <w:bCs/>
          <w:sz w:val="24"/>
          <w:szCs w:val="24"/>
        </w:rPr>
        <w:t>投标报价一览表</w:t>
      </w:r>
    </w:p>
    <w:tbl>
      <w:tblPr>
        <w:tblStyle w:val="29"/>
        <w:tblpPr w:leftFromText="180" w:rightFromText="180" w:vertAnchor="text" w:horzAnchor="page" w:tblpX="1636" w:tblpY="4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095"/>
        <w:gridCol w:w="150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2130" w:type="dxa"/>
            <w:vAlign w:val="center"/>
          </w:tcPr>
          <w:p>
            <w:pPr>
              <w:spacing w:line="360" w:lineRule="auto"/>
              <w:jc w:val="center"/>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项目名称</w:t>
            </w:r>
          </w:p>
        </w:tc>
        <w:tc>
          <w:tcPr>
            <w:tcW w:w="3095" w:type="dxa"/>
            <w:vAlign w:val="center"/>
          </w:tcPr>
          <w:p>
            <w:pPr>
              <w:spacing w:line="360" w:lineRule="auto"/>
              <w:jc w:val="center"/>
              <w:rPr>
                <w:rFonts w:hint="eastAsia"/>
                <w:b w:val="0"/>
                <w:bCs w:val="0"/>
                <w:sz w:val="24"/>
                <w:szCs w:val="24"/>
                <w:vertAlign w:val="baseline"/>
              </w:rPr>
            </w:pPr>
          </w:p>
        </w:tc>
        <w:tc>
          <w:tcPr>
            <w:tcW w:w="150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标段名称</w:t>
            </w:r>
          </w:p>
        </w:tc>
        <w:tc>
          <w:tcPr>
            <w:tcW w:w="1797" w:type="dxa"/>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供应商名称</w:t>
            </w:r>
          </w:p>
        </w:tc>
        <w:tc>
          <w:tcPr>
            <w:tcW w:w="6392" w:type="dxa"/>
            <w:gridSpan w:val="3"/>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投标总价</w:t>
            </w:r>
          </w:p>
        </w:tc>
        <w:tc>
          <w:tcPr>
            <w:tcW w:w="6392" w:type="dxa"/>
            <w:gridSpan w:val="3"/>
            <w:vAlign w:val="center"/>
          </w:tcPr>
          <w:p>
            <w:pPr>
              <w:spacing w:line="360" w:lineRule="auto"/>
              <w:jc w:val="both"/>
              <w:rPr>
                <w:rFonts w:hint="eastAsia"/>
                <w:b w:val="0"/>
                <w:bCs w:val="0"/>
                <w:sz w:val="24"/>
                <w:szCs w:val="24"/>
                <w:lang w:val="en-US" w:eastAsia="zh-CN"/>
              </w:rPr>
            </w:pPr>
            <w:r>
              <w:rPr>
                <w:rFonts w:hint="eastAsia"/>
                <w:b w:val="0"/>
                <w:bCs w:val="0"/>
                <w:sz w:val="24"/>
                <w:szCs w:val="24"/>
                <w:lang w:eastAsia="zh-CN"/>
              </w:rPr>
              <w:t>（大写）</w:t>
            </w:r>
            <w:r>
              <w:rPr>
                <w:rFonts w:hint="eastAsia"/>
                <w:b w:val="0"/>
                <w:bCs w:val="0"/>
                <w:sz w:val="24"/>
                <w:szCs w:val="24"/>
                <w:u w:val="single"/>
                <w:lang w:val="en-US" w:eastAsia="zh-CN"/>
              </w:rPr>
              <w:t xml:space="preserve">                   </w:t>
            </w:r>
            <w:r>
              <w:rPr>
                <w:rFonts w:hint="eastAsia"/>
                <w:b w:val="0"/>
                <w:bCs w:val="0"/>
                <w:sz w:val="24"/>
                <w:szCs w:val="24"/>
                <w:lang w:val="en-US" w:eastAsia="zh-CN"/>
              </w:rPr>
              <w:t xml:space="preserve"> 元</w:t>
            </w:r>
          </w:p>
          <w:p>
            <w:pPr>
              <w:spacing w:line="360" w:lineRule="auto"/>
              <w:jc w:val="both"/>
              <w:rPr>
                <w:rFonts w:hint="default"/>
                <w:b w:val="0"/>
                <w:bCs w:val="0"/>
                <w:sz w:val="24"/>
                <w:szCs w:val="24"/>
                <w:vertAlign w:val="baseline"/>
                <w:lang w:val="en-US"/>
              </w:rPr>
            </w:pPr>
            <w:r>
              <w:rPr>
                <w:rFonts w:hint="eastAsia"/>
                <w:b w:val="0"/>
                <w:bCs w:val="0"/>
                <w:sz w:val="24"/>
                <w:szCs w:val="24"/>
                <w:vertAlign w:val="baseline"/>
                <w:lang w:val="en-US" w:eastAsia="zh-CN"/>
              </w:rPr>
              <w:t>（小写）</w:t>
            </w:r>
            <w:r>
              <w:rPr>
                <w:rFonts w:hint="eastAsia"/>
                <w:b w:val="0"/>
                <w:bCs w:val="0"/>
                <w:sz w:val="24"/>
                <w:szCs w:val="24"/>
                <w:u w:val="single"/>
                <w:vertAlign w:val="baseline"/>
                <w:lang w:val="en-US" w:eastAsia="zh-CN"/>
              </w:rPr>
              <w:t xml:space="preserve">                   </w:t>
            </w:r>
            <w:r>
              <w:rPr>
                <w:rFonts w:hint="eastAsia"/>
                <w:b w:val="0"/>
                <w:bCs w:val="0"/>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投标内容</w:t>
            </w:r>
          </w:p>
        </w:tc>
        <w:tc>
          <w:tcPr>
            <w:tcW w:w="6392" w:type="dxa"/>
            <w:gridSpan w:val="3"/>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交货期及质保期</w:t>
            </w:r>
          </w:p>
        </w:tc>
        <w:tc>
          <w:tcPr>
            <w:tcW w:w="6392" w:type="dxa"/>
            <w:gridSpan w:val="3"/>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质量</w:t>
            </w:r>
          </w:p>
        </w:tc>
        <w:tc>
          <w:tcPr>
            <w:tcW w:w="6392" w:type="dxa"/>
            <w:gridSpan w:val="3"/>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投标有效期</w:t>
            </w:r>
          </w:p>
        </w:tc>
        <w:tc>
          <w:tcPr>
            <w:tcW w:w="6392" w:type="dxa"/>
            <w:gridSpan w:val="3"/>
            <w:vAlign w:val="center"/>
          </w:tcPr>
          <w:p>
            <w:pPr>
              <w:spacing w:line="360" w:lineRule="auto"/>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30" w:type="dxa"/>
            <w:vAlign w:val="center"/>
          </w:tcPr>
          <w:p>
            <w:pPr>
              <w:spacing w:line="360" w:lineRule="auto"/>
              <w:jc w:val="center"/>
              <w:rPr>
                <w:rFonts w:hint="eastAsia" w:eastAsia="宋体"/>
                <w:b w:val="0"/>
                <w:bCs w:val="0"/>
                <w:sz w:val="24"/>
                <w:szCs w:val="24"/>
                <w:vertAlign w:val="baseline"/>
                <w:lang w:eastAsia="zh-CN"/>
              </w:rPr>
            </w:pPr>
            <w:r>
              <w:rPr>
                <w:rFonts w:hint="eastAsia"/>
                <w:b w:val="0"/>
                <w:bCs w:val="0"/>
                <w:sz w:val="24"/>
                <w:szCs w:val="24"/>
                <w:vertAlign w:val="baseline"/>
                <w:lang w:eastAsia="zh-CN"/>
              </w:rPr>
              <w:t>备注</w:t>
            </w:r>
          </w:p>
        </w:tc>
        <w:tc>
          <w:tcPr>
            <w:tcW w:w="6392" w:type="dxa"/>
            <w:gridSpan w:val="3"/>
            <w:vAlign w:val="center"/>
          </w:tcPr>
          <w:p>
            <w:pPr>
              <w:spacing w:line="360" w:lineRule="auto"/>
              <w:jc w:val="center"/>
              <w:rPr>
                <w:rFonts w:hint="eastAsia"/>
                <w:b w:val="0"/>
                <w:bCs w:val="0"/>
                <w:sz w:val="24"/>
                <w:szCs w:val="24"/>
                <w:vertAlign w:val="baseline"/>
              </w:rPr>
            </w:pPr>
          </w:p>
        </w:tc>
      </w:tr>
    </w:tbl>
    <w:p>
      <w:pPr>
        <w:rPr>
          <w:rFonts w:hint="eastAsia" w:ascii="宋体" w:hAnsi="宋体" w:cs="宋体"/>
          <w:w w:val="102"/>
          <w:sz w:val="24"/>
          <w:szCs w:val="24"/>
        </w:rPr>
      </w:pPr>
    </w:p>
    <w:p>
      <w:pPr>
        <w:ind w:firstLine="732" w:firstLineChars="300"/>
        <w:rPr>
          <w:rFonts w:hint="eastAsia" w:ascii="宋体" w:hAnsi="宋体" w:cs="宋体"/>
          <w:w w:val="102"/>
          <w:sz w:val="24"/>
          <w:szCs w:val="24"/>
        </w:rPr>
      </w:pPr>
    </w:p>
    <w:p>
      <w:pPr>
        <w:ind w:firstLine="4148" w:firstLineChars="1700"/>
        <w:rPr>
          <w:rFonts w:ascii="宋体" w:hAnsi="宋体" w:cs="宋体"/>
          <w:w w:val="102"/>
          <w:sz w:val="24"/>
          <w:szCs w:val="24"/>
        </w:rPr>
      </w:pPr>
      <w:r>
        <w:rPr>
          <w:rFonts w:hint="eastAsia" w:ascii="宋体" w:hAnsi="宋体" w:cs="宋体"/>
          <w:w w:val="102"/>
          <w:sz w:val="24"/>
          <w:szCs w:val="24"/>
        </w:rPr>
        <w:t>供应商</w:t>
      </w:r>
      <w:r>
        <w:rPr>
          <w:rFonts w:ascii="宋体" w:hAnsi="宋体" w:cs="宋体"/>
          <w:w w:val="102"/>
          <w:sz w:val="24"/>
          <w:szCs w:val="24"/>
        </w:rPr>
        <w:t xml:space="preserve">：（盖单位章） </w:t>
      </w:r>
    </w:p>
    <w:p>
      <w:pPr>
        <w:spacing w:before="196" w:line="391" w:lineRule="auto"/>
        <w:ind w:right="-94" w:rightChars="0" w:firstLine="3172" w:firstLineChars="1300"/>
        <w:jc w:val="left"/>
        <w:rPr>
          <w:rFonts w:ascii="宋体" w:hAnsi="宋体" w:cs="宋体"/>
          <w:w w:val="102"/>
          <w:sz w:val="24"/>
          <w:szCs w:val="24"/>
        </w:rPr>
      </w:pPr>
      <w:r>
        <w:rPr>
          <w:rFonts w:ascii="宋体" w:hAnsi="宋体" w:cs="宋体"/>
          <w:w w:val="102"/>
          <w:sz w:val="24"/>
          <w:szCs w:val="24"/>
        </w:rPr>
        <w:t>法定代表人或其委托代理人</w:t>
      </w:r>
      <w:r>
        <w:rPr>
          <w:rFonts w:ascii="宋体" w:hAnsi="宋体" w:cs="宋体"/>
          <w:spacing w:val="3"/>
          <w:w w:val="102"/>
          <w:sz w:val="24"/>
          <w:szCs w:val="24"/>
        </w:rPr>
        <w:t>：</w:t>
      </w:r>
      <w:r>
        <w:rPr>
          <w:rFonts w:ascii="宋体" w:hAnsi="宋体" w:cs="宋体"/>
          <w:spacing w:val="-1"/>
          <w:w w:val="102"/>
          <w:sz w:val="24"/>
          <w:szCs w:val="24"/>
        </w:rPr>
        <w:t>(</w:t>
      </w:r>
      <w:r>
        <w:rPr>
          <w:rFonts w:ascii="宋体" w:hAnsi="宋体" w:cs="宋体"/>
          <w:w w:val="102"/>
          <w:sz w:val="24"/>
          <w:szCs w:val="24"/>
        </w:rPr>
        <w:t>签字或盖</w:t>
      </w:r>
      <w:r>
        <w:rPr>
          <w:rFonts w:ascii="宋体" w:hAnsi="宋体" w:cs="宋体"/>
          <w:spacing w:val="1"/>
          <w:w w:val="102"/>
          <w:sz w:val="24"/>
          <w:szCs w:val="24"/>
        </w:rPr>
        <w:t>章</w:t>
      </w:r>
      <w:r>
        <w:rPr>
          <w:rFonts w:ascii="宋体" w:hAnsi="宋体" w:cs="宋体"/>
          <w:w w:val="102"/>
          <w:sz w:val="24"/>
          <w:szCs w:val="24"/>
        </w:rPr>
        <w:t>)</w:t>
      </w:r>
    </w:p>
    <w:p>
      <w:pPr>
        <w:spacing w:before="196" w:line="391" w:lineRule="auto"/>
        <w:ind w:right="1571" w:firstLine="3904" w:firstLineChars="1600"/>
        <w:jc w:val="left"/>
        <w:rPr>
          <w:rFonts w:ascii="宋体" w:hAnsi="宋体" w:cs="宋体"/>
          <w:sz w:val="23"/>
          <w:szCs w:val="23"/>
        </w:rPr>
      </w:pPr>
      <w:r>
        <w:rPr>
          <w:rFonts w:ascii="宋体" w:hAnsi="宋体" w:cs="宋体"/>
          <w:w w:val="102"/>
          <w:sz w:val="24"/>
          <w:szCs w:val="24"/>
        </w:rPr>
        <w:t xml:space="preserve"> 日期：</w:t>
      </w:r>
      <w:r>
        <w:rPr>
          <w:rFonts w:hint="eastAsia" w:ascii="宋体" w:hAnsi="宋体" w:cs="宋体"/>
          <w:w w:val="102"/>
          <w:sz w:val="24"/>
          <w:szCs w:val="24"/>
          <w:lang w:val="en-US" w:eastAsia="zh-CN"/>
        </w:rPr>
        <w:t xml:space="preserve">  </w:t>
      </w:r>
      <w:r>
        <w:rPr>
          <w:rFonts w:ascii="宋体" w:hAnsi="宋体" w:cs="宋体"/>
          <w:w w:val="102"/>
          <w:sz w:val="24"/>
          <w:szCs w:val="24"/>
        </w:rPr>
        <w:t>年</w:t>
      </w:r>
      <w:r>
        <w:rPr>
          <w:rFonts w:hint="eastAsia" w:ascii="宋体" w:hAnsi="宋体" w:cs="宋体"/>
          <w:w w:val="102"/>
          <w:sz w:val="24"/>
          <w:szCs w:val="24"/>
          <w:lang w:val="en-US" w:eastAsia="zh-CN"/>
        </w:rPr>
        <w:t xml:space="preserve">  </w:t>
      </w:r>
      <w:r>
        <w:rPr>
          <w:rFonts w:ascii="宋体" w:hAnsi="宋体" w:cs="宋体"/>
          <w:w w:val="102"/>
          <w:sz w:val="24"/>
          <w:szCs w:val="24"/>
        </w:rPr>
        <w:t>月</w:t>
      </w:r>
      <w:r>
        <w:rPr>
          <w:rFonts w:hint="eastAsia" w:ascii="宋体" w:hAnsi="宋体" w:cs="宋体"/>
          <w:w w:val="102"/>
          <w:sz w:val="24"/>
          <w:szCs w:val="24"/>
          <w:lang w:val="en-US" w:eastAsia="zh-CN"/>
        </w:rPr>
        <w:t xml:space="preserve">   </w:t>
      </w:r>
      <w:r>
        <w:rPr>
          <w:rFonts w:hint="eastAsia" w:ascii="宋体" w:hAnsi="宋体" w:cs="宋体"/>
          <w:w w:val="102"/>
          <w:sz w:val="24"/>
          <w:szCs w:val="24"/>
        </w:rPr>
        <w:t>日</w:t>
      </w:r>
    </w:p>
    <w:p>
      <w:pPr>
        <w:rPr>
          <w:rFonts w:hint="eastAsia"/>
          <w:b/>
          <w:bCs/>
        </w:rPr>
      </w:pPr>
    </w:p>
    <w:p>
      <w:pPr>
        <w:pStyle w:val="11"/>
        <w:spacing w:before="32" w:line="340" w:lineRule="auto"/>
        <w:ind w:right="139"/>
        <w:jc w:val="left"/>
      </w:pPr>
    </w:p>
    <w:p>
      <w:pPr>
        <w:rPr>
          <w:rFonts w:ascii="宋体" w:hAnsi="宋体" w:cs="宋体"/>
          <w:w w:val="105"/>
          <w:sz w:val="20"/>
          <w:szCs w:val="20"/>
        </w:rPr>
      </w:pPr>
      <w:r>
        <w:rPr>
          <w:rFonts w:hint="eastAsia" w:ascii="宋体" w:hAnsi="宋体" w:cs="宋体"/>
          <w:w w:val="105"/>
          <w:sz w:val="20"/>
          <w:szCs w:val="20"/>
        </w:rPr>
        <w:br w:type="page"/>
      </w:r>
    </w:p>
    <w:p>
      <w:pPr>
        <w:jc w:val="center"/>
        <w:rPr>
          <w:b/>
          <w:bCs/>
        </w:rPr>
      </w:pPr>
      <w:r>
        <w:rPr>
          <w:rFonts w:hint="eastAsia"/>
          <w:b/>
          <w:bCs/>
        </w:rPr>
        <w:t>三</w:t>
      </w:r>
      <w:r>
        <w:rPr>
          <w:b/>
          <w:bCs/>
        </w:rPr>
        <w:t>、法定代表人身份证明</w:t>
      </w:r>
    </w:p>
    <w:p>
      <w:pPr>
        <w:rPr>
          <w:rFonts w:ascii="宋体" w:hAnsi="宋体" w:cs="宋体"/>
          <w:sz w:val="28"/>
          <w:szCs w:val="36"/>
        </w:rPr>
      </w:pPr>
    </w:p>
    <w:p>
      <w:pPr>
        <w:rPr>
          <w:rFonts w:hint="default" w:ascii="宋体" w:hAnsi="宋体" w:eastAsia="宋体" w:cs="宋体"/>
          <w:sz w:val="28"/>
          <w:szCs w:val="36"/>
          <w:u w:val="single"/>
          <w:lang w:val="en-US" w:eastAsia="zh-CN"/>
        </w:rPr>
      </w:pPr>
      <w:r>
        <w:rPr>
          <w:rFonts w:hint="eastAsia" w:ascii="宋体" w:hAnsi="宋体" w:cs="宋体"/>
          <w:sz w:val="28"/>
          <w:szCs w:val="36"/>
        </w:rPr>
        <w:t>单位名称：</w:t>
      </w:r>
      <w:r>
        <w:rPr>
          <w:rFonts w:hint="eastAsia" w:ascii="宋体" w:hAnsi="宋体" w:cs="宋体"/>
          <w:sz w:val="28"/>
          <w:szCs w:val="36"/>
          <w:u w:val="single"/>
          <w:lang w:val="en-US" w:eastAsia="zh-CN"/>
        </w:rPr>
        <w:t xml:space="preserve">              </w:t>
      </w:r>
      <w:r>
        <w:rPr>
          <w:rFonts w:hint="eastAsia" w:ascii="宋体" w:hAnsi="宋体" w:cs="宋体"/>
          <w:sz w:val="28"/>
          <w:szCs w:val="36"/>
        </w:rPr>
        <w:t>地址：</w:t>
      </w:r>
      <w:r>
        <w:rPr>
          <w:rFonts w:hint="eastAsia" w:ascii="宋体" w:hAnsi="宋体" w:cs="宋体"/>
          <w:sz w:val="28"/>
          <w:szCs w:val="36"/>
          <w:u w:val="single"/>
          <w:lang w:val="en-US" w:eastAsia="zh-CN"/>
        </w:rPr>
        <w:t xml:space="preserve">                       </w:t>
      </w:r>
    </w:p>
    <w:p>
      <w:pPr>
        <w:rPr>
          <w:rFonts w:ascii="宋体" w:hAnsi="宋体" w:cs="宋体"/>
          <w:sz w:val="28"/>
          <w:szCs w:val="36"/>
        </w:rPr>
      </w:pPr>
      <w:r>
        <w:rPr>
          <w:rFonts w:hint="eastAsia" w:ascii="宋体" w:hAnsi="宋体" w:cs="宋体"/>
          <w:sz w:val="28"/>
          <w:szCs w:val="36"/>
        </w:rPr>
        <w:t>成立时间：</w:t>
      </w:r>
      <w:r>
        <w:rPr>
          <w:rFonts w:hint="eastAsia" w:ascii="宋体" w:hAnsi="宋体" w:cs="宋体"/>
          <w:sz w:val="28"/>
          <w:szCs w:val="36"/>
          <w:u w:val="single"/>
          <w:lang w:val="en-US" w:eastAsia="zh-CN"/>
        </w:rPr>
        <w:t xml:space="preserve">     </w:t>
      </w:r>
      <w:r>
        <w:rPr>
          <w:rFonts w:hint="eastAsia" w:ascii="宋体" w:hAnsi="宋体" w:cs="宋体"/>
          <w:sz w:val="28"/>
          <w:szCs w:val="36"/>
        </w:rPr>
        <w:t>年</w:t>
      </w:r>
      <w:r>
        <w:rPr>
          <w:rFonts w:hint="eastAsia" w:ascii="宋体" w:hAnsi="宋体" w:cs="宋体"/>
          <w:sz w:val="28"/>
          <w:szCs w:val="36"/>
          <w:u w:val="single"/>
          <w:lang w:val="en-US" w:eastAsia="zh-CN"/>
        </w:rPr>
        <w:t xml:space="preserve">     </w:t>
      </w:r>
      <w:r>
        <w:rPr>
          <w:rFonts w:hint="eastAsia" w:ascii="宋体" w:hAnsi="宋体" w:cs="宋体"/>
          <w:sz w:val="28"/>
          <w:szCs w:val="36"/>
        </w:rPr>
        <w:t>月</w:t>
      </w:r>
      <w:r>
        <w:rPr>
          <w:rFonts w:hint="eastAsia" w:ascii="宋体" w:hAnsi="宋体" w:cs="宋体"/>
          <w:sz w:val="28"/>
          <w:szCs w:val="36"/>
          <w:u w:val="single"/>
          <w:lang w:val="en-US" w:eastAsia="zh-CN"/>
        </w:rPr>
        <w:t xml:space="preserve">     </w:t>
      </w:r>
      <w:r>
        <w:rPr>
          <w:rFonts w:hint="eastAsia" w:ascii="宋体" w:hAnsi="宋体" w:cs="宋体"/>
          <w:sz w:val="28"/>
          <w:szCs w:val="36"/>
        </w:rPr>
        <w:t xml:space="preserve">日 </w:t>
      </w:r>
    </w:p>
    <w:p>
      <w:pPr>
        <w:rPr>
          <w:rFonts w:hint="default" w:ascii="宋体" w:hAnsi="宋体" w:eastAsia="宋体" w:cs="宋体"/>
          <w:sz w:val="28"/>
          <w:szCs w:val="36"/>
          <w:u w:val="single"/>
          <w:lang w:val="en-US" w:eastAsia="zh-CN"/>
        </w:rPr>
      </w:pPr>
      <w:r>
        <w:rPr>
          <w:rFonts w:hint="eastAsia" w:ascii="宋体" w:hAnsi="宋体" w:cs="宋体"/>
          <w:sz w:val="28"/>
          <w:szCs w:val="36"/>
        </w:rPr>
        <w:t>经营期限：</w:t>
      </w:r>
      <w:r>
        <w:rPr>
          <w:rFonts w:hint="eastAsia" w:ascii="宋体" w:hAnsi="宋体" w:cs="宋体"/>
          <w:sz w:val="28"/>
          <w:szCs w:val="36"/>
          <w:u w:val="single"/>
          <w:lang w:val="en-US" w:eastAsia="zh-CN"/>
        </w:rPr>
        <w:t xml:space="preserve">            </w:t>
      </w:r>
    </w:p>
    <w:p>
      <w:pPr>
        <w:ind w:left="1120" w:hanging="1120" w:hangingChars="400"/>
        <w:rPr>
          <w:rFonts w:hint="eastAsia" w:ascii="宋体" w:hAnsi="宋体" w:cs="宋体"/>
          <w:sz w:val="28"/>
          <w:szCs w:val="36"/>
          <w:lang w:val="en-US" w:eastAsia="zh-CN"/>
        </w:rPr>
      </w:pPr>
      <w:r>
        <w:rPr>
          <w:rFonts w:hint="eastAsia" w:ascii="宋体" w:hAnsi="宋体" w:cs="宋体"/>
          <w:sz w:val="28"/>
          <w:szCs w:val="36"/>
        </w:rPr>
        <w:t>姓名：</w:t>
      </w:r>
      <w:r>
        <w:rPr>
          <w:rFonts w:hint="eastAsia" w:ascii="宋体" w:hAnsi="宋体" w:cs="宋体"/>
          <w:sz w:val="28"/>
          <w:szCs w:val="36"/>
          <w:u w:val="single"/>
          <w:lang w:val="en-US" w:eastAsia="zh-CN"/>
        </w:rPr>
        <w:t xml:space="preserve">        </w:t>
      </w:r>
      <w:r>
        <w:rPr>
          <w:rFonts w:hint="eastAsia" w:ascii="宋体" w:hAnsi="宋体" w:cs="宋体"/>
          <w:sz w:val="28"/>
          <w:szCs w:val="36"/>
        </w:rPr>
        <w:t>性别：</w:t>
      </w:r>
      <w:r>
        <w:rPr>
          <w:rFonts w:hint="eastAsia" w:ascii="宋体" w:hAnsi="宋体" w:cs="宋体"/>
          <w:sz w:val="28"/>
          <w:szCs w:val="36"/>
          <w:u w:val="single"/>
          <w:lang w:val="en-US" w:eastAsia="zh-CN"/>
        </w:rPr>
        <w:t xml:space="preserve">      </w:t>
      </w:r>
      <w:r>
        <w:rPr>
          <w:rFonts w:hint="eastAsia" w:ascii="宋体" w:hAnsi="宋体" w:cs="宋体"/>
          <w:sz w:val="28"/>
          <w:szCs w:val="36"/>
        </w:rPr>
        <w:t>年龄：</w:t>
      </w:r>
      <w:r>
        <w:rPr>
          <w:rFonts w:hint="eastAsia" w:ascii="宋体" w:hAnsi="宋体" w:cs="宋体"/>
          <w:sz w:val="28"/>
          <w:szCs w:val="36"/>
          <w:u w:val="single"/>
          <w:lang w:val="en-US" w:eastAsia="zh-CN"/>
        </w:rPr>
        <w:t xml:space="preserve">         </w:t>
      </w:r>
      <w:r>
        <w:rPr>
          <w:rFonts w:hint="eastAsia" w:ascii="宋体" w:hAnsi="宋体" w:cs="宋体"/>
          <w:sz w:val="28"/>
          <w:szCs w:val="36"/>
        </w:rPr>
        <w:t>职务：</w:t>
      </w:r>
      <w:r>
        <w:rPr>
          <w:rFonts w:hint="eastAsia" w:ascii="宋体" w:hAnsi="宋体" w:cs="宋体"/>
          <w:sz w:val="28"/>
          <w:szCs w:val="36"/>
          <w:u w:val="single"/>
          <w:lang w:val="en-US" w:eastAsia="zh-CN"/>
        </w:rPr>
        <w:t xml:space="preserve">       </w:t>
      </w:r>
      <w:r>
        <w:rPr>
          <w:rFonts w:hint="eastAsia" w:ascii="宋体" w:hAnsi="宋体" w:cs="宋体"/>
          <w:sz w:val="28"/>
          <w:szCs w:val="36"/>
        </w:rPr>
        <w:t>系</w:t>
      </w:r>
      <w:r>
        <w:rPr>
          <w:rFonts w:hint="eastAsia" w:ascii="宋体" w:hAnsi="宋体" w:cs="宋体"/>
          <w:sz w:val="28"/>
          <w:szCs w:val="36"/>
          <w:lang w:val="en-US" w:eastAsia="zh-CN"/>
        </w:rPr>
        <w:t xml:space="preserve"> </w:t>
      </w:r>
    </w:p>
    <w:p>
      <w:pPr>
        <w:ind w:left="1120" w:hanging="1120" w:hangingChars="400"/>
        <w:rPr>
          <w:rFonts w:ascii="宋体" w:hAnsi="宋体" w:cs="宋体"/>
          <w:sz w:val="28"/>
          <w:szCs w:val="36"/>
        </w:rPr>
      </w:pPr>
      <w:r>
        <w:rPr>
          <w:rFonts w:hint="eastAsia" w:ascii="宋体" w:hAnsi="宋体" w:cs="宋体"/>
          <w:sz w:val="28"/>
          <w:szCs w:val="36"/>
          <w:u w:val="single"/>
          <w:lang w:val="en-US" w:eastAsia="zh-CN"/>
        </w:rPr>
        <w:t xml:space="preserve">           </w:t>
      </w:r>
      <w:r>
        <w:rPr>
          <w:rFonts w:hint="eastAsia" w:ascii="宋体" w:hAnsi="宋体" w:cs="宋体"/>
          <w:sz w:val="28"/>
          <w:szCs w:val="36"/>
        </w:rPr>
        <w:t>（供应商单位名称）的法定代表人。</w:t>
      </w:r>
    </w:p>
    <w:p>
      <w:pPr>
        <w:rPr>
          <w:rFonts w:ascii="宋体" w:hAnsi="宋体" w:cs="宋体"/>
          <w:sz w:val="28"/>
          <w:szCs w:val="36"/>
        </w:rPr>
      </w:pPr>
    </w:p>
    <w:p>
      <w:pPr>
        <w:rPr>
          <w:rFonts w:ascii="宋体" w:hAnsi="宋体" w:cs="宋体"/>
          <w:sz w:val="28"/>
          <w:szCs w:val="36"/>
        </w:rPr>
      </w:pPr>
      <w:r>
        <w:rPr>
          <w:rFonts w:hint="eastAsia" w:ascii="宋体" w:hAnsi="宋体" w:cs="宋体"/>
          <w:sz w:val="28"/>
          <w:szCs w:val="36"/>
        </w:rPr>
        <w:t>特此证明。</w:t>
      </w:r>
    </w:p>
    <w:p>
      <w:pPr>
        <w:rPr>
          <w:rFonts w:ascii="宋体" w:hAnsi="宋体" w:cs="宋体"/>
          <w:sz w:val="28"/>
          <w:szCs w:val="36"/>
        </w:rPr>
      </w:pPr>
    </w:p>
    <w:p>
      <w:pPr>
        <w:rPr>
          <w:rFonts w:ascii="宋体" w:hAnsi="宋体" w:cs="宋体"/>
          <w:sz w:val="28"/>
          <w:szCs w:val="36"/>
        </w:rPr>
      </w:pPr>
    </w:p>
    <w:p>
      <w:pPr>
        <w:rPr>
          <w:rFonts w:ascii="宋体" w:hAnsi="宋体" w:cs="宋体"/>
          <w:sz w:val="28"/>
          <w:szCs w:val="36"/>
        </w:rPr>
      </w:pPr>
    </w:p>
    <w:p>
      <w:pPr>
        <w:rPr>
          <w:rFonts w:ascii="宋体" w:hAnsi="宋体" w:cs="宋体"/>
          <w:sz w:val="28"/>
          <w:szCs w:val="36"/>
        </w:rPr>
      </w:pPr>
      <w:r>
        <w:rPr>
          <w:rFonts w:hint="eastAsia" w:ascii="宋体" w:hAnsi="宋体" w:cs="宋体"/>
          <w:sz w:val="28"/>
          <w:szCs w:val="36"/>
        </w:rPr>
        <w:t xml:space="preserve">供应商：（盖单位章） </w:t>
      </w:r>
    </w:p>
    <w:p>
      <w:pPr>
        <w:rPr>
          <w:rFonts w:ascii="宋体" w:hAnsi="宋体" w:cs="宋体"/>
          <w:sz w:val="28"/>
          <w:szCs w:val="36"/>
        </w:rPr>
      </w:pPr>
      <w:r>
        <w:rPr>
          <w:rFonts w:hint="eastAsia" w:ascii="宋体" w:hAnsi="宋体" w:cs="宋体"/>
          <w:sz w:val="28"/>
          <w:szCs w:val="36"/>
        </w:rPr>
        <w:t xml:space="preserve">法定代表人：(签字或盖章) </w:t>
      </w:r>
    </w:p>
    <w:p>
      <w:pPr>
        <w:ind w:firstLine="4200" w:firstLineChars="1500"/>
        <w:rPr>
          <w:rFonts w:ascii="宋体" w:hAnsi="宋体" w:cs="宋体"/>
          <w:sz w:val="28"/>
          <w:szCs w:val="36"/>
        </w:rPr>
      </w:pPr>
      <w:r>
        <w:rPr>
          <w:rFonts w:hint="eastAsia" w:ascii="宋体" w:hAnsi="宋体" w:cs="宋体"/>
          <w:sz w:val="28"/>
          <w:szCs w:val="36"/>
        </w:rPr>
        <w:t>日期：年</w:t>
      </w:r>
      <w:r>
        <w:rPr>
          <w:rFonts w:hint="eastAsia" w:ascii="宋体" w:hAnsi="宋体" w:cs="宋体"/>
          <w:sz w:val="28"/>
          <w:szCs w:val="36"/>
          <w:lang w:val="en-US" w:eastAsia="zh-CN"/>
        </w:rPr>
        <w:t xml:space="preserve"> </w:t>
      </w:r>
      <w:r>
        <w:rPr>
          <w:rFonts w:hint="eastAsia" w:ascii="宋体" w:hAnsi="宋体" w:cs="宋体"/>
          <w:sz w:val="28"/>
          <w:szCs w:val="36"/>
        </w:rPr>
        <w:t>月</w:t>
      </w:r>
      <w:r>
        <w:rPr>
          <w:rFonts w:hint="eastAsia" w:ascii="宋体" w:hAnsi="宋体" w:cs="宋体"/>
          <w:sz w:val="28"/>
          <w:szCs w:val="36"/>
          <w:lang w:val="en-US" w:eastAsia="zh-CN"/>
        </w:rPr>
        <w:t xml:space="preserve">  </w:t>
      </w:r>
      <w:r>
        <w:rPr>
          <w:rFonts w:hint="eastAsia" w:ascii="宋体" w:hAnsi="宋体" w:cs="宋体"/>
          <w:sz w:val="28"/>
          <w:szCs w:val="36"/>
        </w:rPr>
        <w:t>日</w:t>
      </w:r>
    </w:p>
    <w:p>
      <w:pPr>
        <w:rPr>
          <w:rFonts w:ascii="宋体" w:hAnsi="宋体" w:cs="宋体"/>
          <w:sz w:val="28"/>
          <w:szCs w:val="36"/>
        </w:rPr>
      </w:pPr>
      <w:r>
        <w:rPr>
          <w:rFonts w:hint="eastAsia" w:ascii="宋体" w:hAnsi="宋体" w:cs="宋体"/>
          <w:sz w:val="28"/>
          <w:szCs w:val="36"/>
        </w:rPr>
        <w:br w:type="page"/>
      </w:r>
    </w:p>
    <w:p>
      <w:pPr>
        <w:jc w:val="center"/>
        <w:rPr>
          <w:b/>
          <w:bCs/>
        </w:rPr>
      </w:pPr>
      <w:r>
        <w:rPr>
          <w:rFonts w:hint="eastAsia"/>
          <w:b/>
          <w:bCs/>
        </w:rPr>
        <w:t>四</w:t>
      </w:r>
      <w:r>
        <w:rPr>
          <w:b/>
          <w:bCs/>
        </w:rPr>
        <w:t>、授权委托书</w:t>
      </w:r>
    </w:p>
    <w:p>
      <w:pPr>
        <w:spacing w:before="11"/>
        <w:rPr>
          <w:rFonts w:ascii="宋体" w:hAnsi="宋体" w:cs="宋体"/>
          <w:b/>
          <w:bCs/>
        </w:rPr>
      </w:pPr>
    </w:p>
    <w:p>
      <w:pPr>
        <w:pStyle w:val="11"/>
        <w:spacing w:line="360" w:lineRule="auto"/>
        <w:ind w:left="0" w:right="9" w:firstLine="468" w:firstLineChars="200"/>
        <w:jc w:val="both"/>
        <w:rPr>
          <w:rFonts w:cs="宋体"/>
          <w:sz w:val="24"/>
          <w:szCs w:val="24"/>
        </w:rPr>
      </w:pPr>
      <w:r>
        <w:rPr>
          <w:rFonts w:hint="eastAsia" w:cs="宋体"/>
          <w:spacing w:val="-3"/>
          <w:sz w:val="24"/>
          <w:szCs w:val="24"/>
        </w:rPr>
        <w:t>本人</w:t>
      </w:r>
      <w:r>
        <w:rPr>
          <w:rFonts w:hint="eastAsia" w:cs="宋体"/>
          <w:spacing w:val="-3"/>
          <w:sz w:val="24"/>
          <w:szCs w:val="24"/>
          <w:u w:val="single" w:color="000000"/>
        </w:rPr>
        <w:t>（姓名）</w:t>
      </w:r>
      <w:r>
        <w:rPr>
          <w:rFonts w:hint="eastAsia" w:cs="宋体"/>
          <w:spacing w:val="-3"/>
          <w:sz w:val="24"/>
          <w:szCs w:val="24"/>
        </w:rPr>
        <w:t>系</w:t>
      </w:r>
      <w:r>
        <w:rPr>
          <w:rFonts w:hint="eastAsia" w:cs="宋体"/>
          <w:spacing w:val="-3"/>
          <w:sz w:val="24"/>
          <w:szCs w:val="24"/>
          <w:u w:val="single" w:color="000000"/>
        </w:rPr>
        <w:t>（供应商名称）</w:t>
      </w:r>
      <w:r>
        <w:rPr>
          <w:rFonts w:hint="eastAsia" w:cs="宋体"/>
          <w:spacing w:val="-3"/>
          <w:sz w:val="24"/>
          <w:szCs w:val="24"/>
        </w:rPr>
        <w:t>的法定代表人，现委托</w:t>
      </w:r>
      <w:r>
        <w:rPr>
          <w:rFonts w:hint="eastAsia" w:cs="宋体"/>
          <w:spacing w:val="-3"/>
          <w:sz w:val="24"/>
          <w:szCs w:val="24"/>
          <w:u w:val="single" w:color="000000"/>
        </w:rPr>
        <w:t>（姓名）</w:t>
      </w:r>
      <w:r>
        <w:rPr>
          <w:rFonts w:hint="eastAsia" w:cs="宋体"/>
          <w:spacing w:val="-3"/>
          <w:sz w:val="24"/>
          <w:szCs w:val="24"/>
        </w:rPr>
        <w:t>为我方代理人。代理人根据授</w:t>
      </w:r>
      <w:r>
        <w:rPr>
          <w:rFonts w:hint="eastAsia" w:cs="宋体"/>
          <w:spacing w:val="-4"/>
          <w:sz w:val="24"/>
          <w:szCs w:val="24"/>
        </w:rPr>
        <w:t>权，以我方名义签署、澄清、说明、补正、递交、撤回、修改</w:t>
      </w:r>
      <w:r>
        <w:rPr>
          <w:rFonts w:hint="eastAsia" w:cs="宋体"/>
          <w:spacing w:val="-4"/>
          <w:sz w:val="24"/>
          <w:szCs w:val="24"/>
          <w:u w:val="single" w:color="000000"/>
        </w:rPr>
        <w:t>（项目名称）</w:t>
      </w:r>
      <w:r>
        <w:rPr>
          <w:rFonts w:hint="eastAsia" w:cs="宋体"/>
          <w:spacing w:val="-4"/>
          <w:sz w:val="24"/>
          <w:szCs w:val="24"/>
        </w:rPr>
        <w:t>响应文件、签订合</w:t>
      </w:r>
      <w:r>
        <w:rPr>
          <w:rFonts w:hint="eastAsia" w:cs="宋体"/>
          <w:sz w:val="24"/>
          <w:szCs w:val="24"/>
        </w:rPr>
        <w:t>同和处理有关事宜，其法律后果由我方承担。委托期限：</w:t>
      </w:r>
      <w:r>
        <w:rPr>
          <w:rFonts w:hint="eastAsia" w:cs="宋体"/>
          <w:sz w:val="24"/>
          <w:szCs w:val="24"/>
          <w:u w:val="single" w:color="000000"/>
        </w:rPr>
        <w:tab/>
      </w:r>
      <w:r>
        <w:rPr>
          <w:rFonts w:hint="eastAsia" w:cs="宋体"/>
          <w:sz w:val="24"/>
          <w:szCs w:val="24"/>
          <w:u w:val="single" w:color="000000"/>
          <w:lang w:val="en-US" w:eastAsia="zh-CN"/>
        </w:rPr>
        <w:t xml:space="preserve">            </w:t>
      </w:r>
      <w:r>
        <w:rPr>
          <w:rFonts w:hint="eastAsia" w:cs="宋体"/>
          <w:sz w:val="24"/>
          <w:szCs w:val="24"/>
        </w:rPr>
        <w:t>。</w:t>
      </w:r>
    </w:p>
    <w:p>
      <w:pPr>
        <w:pStyle w:val="11"/>
        <w:spacing w:line="360" w:lineRule="auto"/>
        <w:ind w:left="0" w:right="9" w:firstLine="464" w:firstLineChars="200"/>
        <w:rPr>
          <w:rFonts w:cs="宋体"/>
          <w:spacing w:val="-4"/>
          <w:sz w:val="24"/>
          <w:szCs w:val="24"/>
        </w:rPr>
      </w:pPr>
      <w:r>
        <w:rPr>
          <w:rFonts w:hint="eastAsia" w:cs="宋体"/>
          <w:spacing w:val="-4"/>
          <w:sz w:val="24"/>
          <w:szCs w:val="24"/>
        </w:rPr>
        <w:t xml:space="preserve">代理人无转委托权。 </w:t>
      </w:r>
    </w:p>
    <w:p>
      <w:pPr>
        <w:pStyle w:val="11"/>
        <w:spacing w:line="360" w:lineRule="auto"/>
        <w:ind w:left="0" w:right="9" w:firstLine="464" w:firstLineChars="200"/>
        <w:rPr>
          <w:rFonts w:cs="宋体"/>
          <w:sz w:val="24"/>
          <w:szCs w:val="24"/>
        </w:rPr>
      </w:pPr>
      <w:r>
        <w:rPr>
          <w:rFonts w:hint="eastAsia" w:cs="宋体"/>
          <w:spacing w:val="-4"/>
          <w:sz w:val="24"/>
          <w:szCs w:val="24"/>
        </w:rPr>
        <w:t>附：法定代表人身份证复</w:t>
      </w:r>
      <w:r>
        <w:rPr>
          <w:rFonts w:hint="eastAsia" w:cs="宋体"/>
          <w:sz w:val="24"/>
          <w:szCs w:val="24"/>
        </w:rPr>
        <w:t>印件及委托人身份证复印件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spacing w:before="5"/>
        <w:rPr>
          <w:rFonts w:ascii="宋体" w:hAnsi="宋体" w:cs="宋体"/>
          <w:sz w:val="28"/>
          <w:szCs w:val="28"/>
        </w:rPr>
      </w:pPr>
    </w:p>
    <w:p>
      <w:pPr>
        <w:pStyle w:val="27"/>
        <w:ind w:firstLine="560"/>
        <w:rPr>
          <w:rFonts w:ascii="宋体" w:hAnsi="宋体" w:cs="宋体"/>
          <w:sz w:val="28"/>
          <w:szCs w:val="28"/>
        </w:rPr>
      </w:pPr>
      <w:r>
        <w:rPr>
          <w:rFonts w:hint="eastAsia" w:ascii="宋体" w:hAnsi="宋体" w:cs="宋体"/>
          <w:sz w:val="28"/>
          <w:szCs w:val="28"/>
        </w:rPr>
        <w:t>供应商：（盖单位章）</w:t>
      </w:r>
    </w:p>
    <w:p>
      <w:pPr>
        <w:pStyle w:val="27"/>
        <w:ind w:firstLine="556"/>
        <w:rPr>
          <w:rFonts w:ascii="宋体" w:hAnsi="宋体" w:cs="宋体"/>
          <w:spacing w:val="-63"/>
          <w:sz w:val="28"/>
          <w:szCs w:val="28"/>
        </w:rPr>
      </w:pPr>
      <w:r>
        <w:rPr>
          <w:rFonts w:hint="eastAsia" w:ascii="宋体" w:hAnsi="宋体" w:cs="宋体"/>
          <w:spacing w:val="-1"/>
          <w:sz w:val="28"/>
          <w:szCs w:val="28"/>
        </w:rPr>
        <w:t>法定代表人：（签字）</w:t>
      </w:r>
    </w:p>
    <w:p>
      <w:pPr>
        <w:pStyle w:val="27"/>
        <w:ind w:firstLine="556"/>
        <w:rPr>
          <w:rFonts w:ascii="宋体" w:hAnsi="宋体" w:cs="宋体"/>
          <w:spacing w:val="-1"/>
          <w:sz w:val="28"/>
          <w:szCs w:val="28"/>
        </w:rPr>
      </w:pPr>
      <w:r>
        <w:rPr>
          <w:rFonts w:hint="eastAsia" w:ascii="宋体" w:hAnsi="宋体" w:cs="宋体"/>
          <w:spacing w:val="-1"/>
          <w:sz w:val="28"/>
          <w:szCs w:val="28"/>
        </w:rPr>
        <w:t>委托代理人：（签字）</w:t>
      </w:r>
    </w:p>
    <w:p>
      <w:pPr>
        <w:pStyle w:val="27"/>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lang w:val="en-US" w:eastAsia="zh-CN"/>
        </w:rPr>
        <w:t xml:space="preserve"> </w:t>
      </w: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rPr>
          <w:rFonts w:ascii="宋体" w:hAnsi="宋体" w:cs="宋体"/>
          <w:sz w:val="28"/>
          <w:szCs w:val="28"/>
        </w:rPr>
      </w:pPr>
      <w:r>
        <w:rPr>
          <w:rFonts w:hint="eastAsia" w:ascii="宋体" w:hAnsi="宋体" w:cs="宋体"/>
          <w:sz w:val="28"/>
          <w:szCs w:val="28"/>
        </w:rPr>
        <w:br w:type="page"/>
      </w:r>
    </w:p>
    <w:p>
      <w:pPr>
        <w:jc w:val="center"/>
        <w:rPr>
          <w:b/>
          <w:bCs/>
          <w:sz w:val="24"/>
          <w:szCs w:val="24"/>
        </w:rPr>
      </w:pPr>
      <w:r>
        <w:rPr>
          <w:rFonts w:hint="eastAsia"/>
          <w:b/>
          <w:bCs/>
          <w:sz w:val="24"/>
          <w:szCs w:val="24"/>
        </w:rPr>
        <w:t>五</w:t>
      </w:r>
      <w:r>
        <w:rPr>
          <w:b/>
          <w:bCs/>
          <w:sz w:val="24"/>
          <w:szCs w:val="24"/>
        </w:rPr>
        <w:t>、报价明细表</w:t>
      </w:r>
    </w:p>
    <w:p>
      <w:pPr>
        <w:spacing w:before="13"/>
        <w:rPr>
          <w:rFonts w:ascii="宋体" w:hAnsi="宋体" w:cs="宋体"/>
          <w:sz w:val="12"/>
          <w:szCs w:val="12"/>
        </w:rPr>
      </w:pPr>
    </w:p>
    <w:tbl>
      <w:tblPr>
        <w:tblStyle w:val="28"/>
        <w:tblW w:w="9400" w:type="dxa"/>
        <w:tblInd w:w="-622" w:type="dxa"/>
        <w:tblLayout w:type="fixed"/>
        <w:tblCellMar>
          <w:top w:w="0" w:type="dxa"/>
          <w:left w:w="0" w:type="dxa"/>
          <w:bottom w:w="0" w:type="dxa"/>
          <w:right w:w="0" w:type="dxa"/>
        </w:tblCellMar>
      </w:tblPr>
      <w:tblGrid>
        <w:gridCol w:w="1275"/>
        <w:gridCol w:w="625"/>
        <w:gridCol w:w="1050"/>
        <w:gridCol w:w="884"/>
        <w:gridCol w:w="1300"/>
        <w:gridCol w:w="1216"/>
        <w:gridCol w:w="1517"/>
        <w:gridCol w:w="658"/>
        <w:gridCol w:w="875"/>
      </w:tblGrid>
      <w:tr>
        <w:tblPrEx>
          <w:tblCellMar>
            <w:top w:w="0" w:type="dxa"/>
            <w:left w:w="0" w:type="dxa"/>
            <w:bottom w:w="0" w:type="dxa"/>
            <w:right w:w="0" w:type="dxa"/>
          </w:tblCellMar>
        </w:tblPrEx>
        <w:trPr>
          <w:trHeight w:val="751"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pStyle w:val="42"/>
              <w:spacing w:before="29"/>
              <w:ind w:left="132" w:right="130"/>
              <w:jc w:val="center"/>
              <w:rPr>
                <w:rFonts w:ascii="宋体" w:hAnsi="宋体" w:cs="宋体"/>
                <w:sz w:val="23"/>
                <w:szCs w:val="23"/>
              </w:rPr>
            </w:pPr>
            <w:r>
              <w:rPr>
                <w:rFonts w:ascii="宋体" w:hAnsi="宋体" w:cs="宋体"/>
                <w:sz w:val="23"/>
                <w:szCs w:val="23"/>
              </w:rPr>
              <w:t>序号</w:t>
            </w: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pStyle w:val="42"/>
              <w:spacing w:before="176"/>
              <w:jc w:val="center"/>
              <w:rPr>
                <w:rFonts w:ascii="宋体" w:hAnsi="宋体" w:cs="宋体"/>
                <w:sz w:val="23"/>
                <w:szCs w:val="23"/>
              </w:rPr>
            </w:pPr>
            <w:r>
              <w:rPr>
                <w:rFonts w:ascii="宋体" w:hAnsi="宋体" w:cs="宋体"/>
                <w:sz w:val="23"/>
                <w:szCs w:val="23"/>
              </w:rPr>
              <w:t>货物名称</w:t>
            </w:r>
          </w:p>
        </w:tc>
        <w:tc>
          <w:tcPr>
            <w:tcW w:w="884" w:type="dxa"/>
            <w:tcBorders>
              <w:top w:val="single" w:color="000000" w:sz="6" w:space="0"/>
              <w:left w:val="single" w:color="000000" w:sz="6" w:space="0"/>
              <w:bottom w:val="single" w:color="000000" w:sz="6" w:space="0"/>
              <w:right w:val="single" w:color="000000" w:sz="6" w:space="0"/>
            </w:tcBorders>
            <w:vAlign w:val="center"/>
          </w:tcPr>
          <w:p>
            <w:pPr>
              <w:pStyle w:val="42"/>
              <w:spacing w:before="183"/>
              <w:ind w:left="132"/>
              <w:jc w:val="center"/>
              <w:rPr>
                <w:rFonts w:ascii="宋体" w:hAnsi="宋体" w:cs="宋体"/>
                <w:sz w:val="23"/>
                <w:szCs w:val="23"/>
              </w:rPr>
            </w:pPr>
            <w:r>
              <w:rPr>
                <w:rFonts w:ascii="宋体" w:hAnsi="宋体" w:cs="宋体"/>
                <w:spacing w:val="-51"/>
                <w:sz w:val="23"/>
                <w:szCs w:val="23"/>
              </w:rPr>
              <w:t>品牌</w:t>
            </w:r>
          </w:p>
        </w:tc>
        <w:tc>
          <w:tcPr>
            <w:tcW w:w="1300" w:type="dxa"/>
            <w:tcBorders>
              <w:top w:val="single" w:color="000000" w:sz="6" w:space="0"/>
              <w:left w:val="single" w:color="000000" w:sz="6" w:space="0"/>
              <w:bottom w:val="single" w:color="000000" w:sz="6" w:space="0"/>
              <w:right w:val="single" w:color="000000" w:sz="6" w:space="0"/>
            </w:tcBorders>
            <w:vAlign w:val="center"/>
          </w:tcPr>
          <w:p>
            <w:pPr>
              <w:pStyle w:val="42"/>
              <w:spacing w:before="29"/>
              <w:ind w:left="419" w:right="176" w:hanging="236"/>
              <w:jc w:val="center"/>
              <w:rPr>
                <w:rFonts w:ascii="宋体" w:hAnsi="宋体" w:cs="宋体"/>
                <w:sz w:val="23"/>
                <w:szCs w:val="23"/>
              </w:rPr>
            </w:pPr>
            <w:r>
              <w:rPr>
                <w:rFonts w:ascii="宋体" w:hAnsi="宋体" w:cs="宋体"/>
                <w:sz w:val="23"/>
                <w:szCs w:val="23"/>
              </w:rPr>
              <w:t>规格型号</w:t>
            </w:r>
          </w:p>
        </w:tc>
        <w:tc>
          <w:tcPr>
            <w:tcW w:w="1216" w:type="dxa"/>
            <w:tcBorders>
              <w:top w:val="single" w:color="000000" w:sz="6" w:space="0"/>
              <w:left w:val="single" w:color="000000" w:sz="6" w:space="0"/>
              <w:bottom w:val="single" w:color="000000" w:sz="6" w:space="0"/>
              <w:right w:val="single" w:color="000000" w:sz="6" w:space="0"/>
            </w:tcBorders>
            <w:vAlign w:val="center"/>
          </w:tcPr>
          <w:p>
            <w:pPr>
              <w:pStyle w:val="42"/>
              <w:spacing w:before="176"/>
              <w:ind w:left="118"/>
              <w:jc w:val="center"/>
              <w:rPr>
                <w:rFonts w:ascii="宋体" w:hAnsi="宋体" w:cs="宋体"/>
                <w:sz w:val="23"/>
                <w:szCs w:val="23"/>
              </w:rPr>
            </w:pPr>
            <w:r>
              <w:rPr>
                <w:rFonts w:ascii="宋体" w:hAnsi="宋体" w:cs="宋体"/>
                <w:sz w:val="23"/>
                <w:szCs w:val="23"/>
              </w:rPr>
              <w:t>原</w:t>
            </w:r>
            <w:r>
              <w:rPr>
                <w:rFonts w:ascii="宋体" w:hAnsi="宋体" w:cs="宋体"/>
                <w:spacing w:val="17"/>
                <w:sz w:val="23"/>
                <w:szCs w:val="23"/>
              </w:rPr>
              <w:t>产地</w:t>
            </w:r>
          </w:p>
        </w:tc>
        <w:tc>
          <w:tcPr>
            <w:tcW w:w="1517" w:type="dxa"/>
            <w:tcBorders>
              <w:top w:val="single" w:color="000000" w:sz="6" w:space="0"/>
              <w:left w:val="single" w:color="000000" w:sz="6" w:space="0"/>
              <w:bottom w:val="single" w:color="000000" w:sz="6" w:space="0"/>
              <w:right w:val="single" w:color="000000" w:sz="6" w:space="0"/>
            </w:tcBorders>
            <w:vAlign w:val="center"/>
          </w:tcPr>
          <w:p>
            <w:pPr>
              <w:pStyle w:val="42"/>
              <w:spacing w:before="29"/>
              <w:ind w:left="486" w:right="132" w:hanging="354"/>
              <w:jc w:val="center"/>
              <w:rPr>
                <w:rFonts w:ascii="宋体" w:hAnsi="宋体" w:cs="宋体"/>
                <w:sz w:val="23"/>
                <w:szCs w:val="23"/>
              </w:rPr>
            </w:pPr>
            <w:r>
              <w:rPr>
                <w:rFonts w:ascii="宋体" w:hAnsi="宋体" w:cs="宋体"/>
                <w:sz w:val="23"/>
                <w:szCs w:val="23"/>
              </w:rPr>
              <w:t>单位及数量</w:t>
            </w:r>
          </w:p>
        </w:tc>
        <w:tc>
          <w:tcPr>
            <w:tcW w:w="658" w:type="dxa"/>
            <w:tcBorders>
              <w:top w:val="single" w:color="000000" w:sz="6" w:space="0"/>
              <w:left w:val="single" w:color="000000" w:sz="6" w:space="0"/>
              <w:bottom w:val="single" w:color="000000" w:sz="6" w:space="0"/>
              <w:right w:val="single" w:color="000000" w:sz="6" w:space="0"/>
            </w:tcBorders>
            <w:vAlign w:val="center"/>
          </w:tcPr>
          <w:p>
            <w:pPr>
              <w:pStyle w:val="42"/>
              <w:spacing w:before="176"/>
              <w:ind w:left="147"/>
              <w:jc w:val="center"/>
              <w:rPr>
                <w:rFonts w:ascii="宋体" w:hAnsi="宋体" w:cs="宋体"/>
                <w:sz w:val="23"/>
                <w:szCs w:val="23"/>
              </w:rPr>
            </w:pPr>
            <w:r>
              <w:rPr>
                <w:rFonts w:ascii="宋体" w:hAnsi="宋体" w:cs="宋体"/>
                <w:sz w:val="23"/>
                <w:szCs w:val="23"/>
              </w:rPr>
              <w:t>单价</w:t>
            </w:r>
          </w:p>
        </w:tc>
        <w:tc>
          <w:tcPr>
            <w:tcW w:w="875" w:type="dxa"/>
            <w:tcBorders>
              <w:top w:val="single" w:color="000000" w:sz="6" w:space="0"/>
              <w:left w:val="single" w:color="000000" w:sz="6" w:space="0"/>
              <w:bottom w:val="single" w:color="000000" w:sz="6" w:space="0"/>
              <w:right w:val="single" w:color="000000" w:sz="6" w:space="0"/>
            </w:tcBorders>
            <w:vAlign w:val="center"/>
          </w:tcPr>
          <w:p>
            <w:pPr>
              <w:pStyle w:val="42"/>
              <w:spacing w:before="176"/>
              <w:ind w:right="4"/>
              <w:jc w:val="center"/>
              <w:rPr>
                <w:rFonts w:ascii="宋体" w:hAnsi="宋体" w:cs="宋体"/>
                <w:sz w:val="23"/>
                <w:szCs w:val="23"/>
              </w:rPr>
            </w:pPr>
            <w:r>
              <w:rPr>
                <w:rFonts w:ascii="宋体" w:hAnsi="宋体" w:cs="宋体"/>
                <w:sz w:val="23"/>
                <w:szCs w:val="23"/>
              </w:rPr>
              <w:t>金额</w:t>
            </w:r>
          </w:p>
        </w:tc>
      </w:tr>
      <w:tr>
        <w:tblPrEx>
          <w:tblCellMar>
            <w:top w:w="0" w:type="dxa"/>
            <w:left w:w="0" w:type="dxa"/>
            <w:bottom w:w="0" w:type="dxa"/>
            <w:right w:w="0" w:type="dxa"/>
          </w:tblCellMar>
        </w:tblPrEx>
        <w:trPr>
          <w:trHeight w:val="324"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31"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24"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23"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24"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32"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24"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383"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419"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675" w:type="dxa"/>
            <w:gridSpan w:val="2"/>
            <w:tcBorders>
              <w:top w:val="single" w:color="000000" w:sz="6" w:space="0"/>
              <w:left w:val="single" w:color="000000" w:sz="6" w:space="0"/>
              <w:bottom w:val="single" w:color="000000" w:sz="6" w:space="0"/>
              <w:right w:val="single" w:color="000000" w:sz="6" w:space="0"/>
            </w:tcBorders>
            <w:vAlign w:val="center"/>
          </w:tcPr>
          <w:p>
            <w:pPr>
              <w:pStyle w:val="42"/>
              <w:spacing w:before="6"/>
              <w:ind w:left="1486"/>
              <w:jc w:val="center"/>
              <w:rPr>
                <w:rFonts w:ascii="宋体" w:hAnsi="宋体" w:cs="宋体"/>
                <w:sz w:val="23"/>
                <w:szCs w:val="23"/>
              </w:rPr>
            </w:pPr>
            <w:r>
              <w:rPr>
                <w:rFonts w:ascii="宋体" w:hAnsi="宋体" w:cs="宋体"/>
                <w:spacing w:val="21"/>
                <w:sz w:val="23"/>
                <w:szCs w:val="23"/>
              </w:rPr>
              <w:t>……</w:t>
            </w:r>
          </w:p>
        </w:tc>
        <w:tc>
          <w:tcPr>
            <w:tcW w:w="88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30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16"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427"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075" w:type="dxa"/>
            <w:gridSpan w:val="5"/>
            <w:tcBorders>
              <w:top w:val="single" w:color="000000" w:sz="6" w:space="0"/>
              <w:left w:val="single" w:color="000000" w:sz="6" w:space="0"/>
              <w:bottom w:val="single" w:color="000000" w:sz="6" w:space="0"/>
              <w:right w:val="single" w:color="000000" w:sz="6" w:space="0"/>
            </w:tcBorders>
            <w:vAlign w:val="center"/>
          </w:tcPr>
          <w:p>
            <w:pPr>
              <w:pStyle w:val="42"/>
              <w:spacing w:before="15"/>
              <w:ind w:left="1134"/>
              <w:jc w:val="center"/>
              <w:rPr>
                <w:rFonts w:ascii="宋体" w:hAnsi="宋体" w:cs="宋体"/>
                <w:sz w:val="23"/>
                <w:szCs w:val="23"/>
              </w:rPr>
            </w:pPr>
            <w:r>
              <w:rPr>
                <w:rFonts w:ascii="宋体" w:hAnsi="宋体" w:cs="宋体"/>
                <w:sz w:val="23"/>
                <w:szCs w:val="23"/>
              </w:rPr>
              <w:t>运</w:t>
            </w:r>
            <w:r>
              <w:rPr>
                <w:rFonts w:ascii="宋体" w:hAnsi="宋体" w:cs="宋体"/>
                <w:spacing w:val="23"/>
                <w:sz w:val="23"/>
                <w:szCs w:val="23"/>
              </w:rPr>
              <w:t>输费、安装调</w:t>
            </w:r>
            <w:r>
              <w:rPr>
                <w:rFonts w:ascii="宋体" w:hAnsi="宋体" w:cs="宋体"/>
                <w:spacing w:val="17"/>
                <w:sz w:val="23"/>
                <w:szCs w:val="23"/>
              </w:rPr>
              <w:t>试费</w:t>
            </w: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464" w:hRule="exact"/>
        </w:trPr>
        <w:tc>
          <w:tcPr>
            <w:tcW w:w="127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5075" w:type="dxa"/>
            <w:gridSpan w:val="5"/>
            <w:tcBorders>
              <w:top w:val="single" w:color="000000" w:sz="6" w:space="0"/>
              <w:left w:val="single" w:color="000000" w:sz="6" w:space="0"/>
              <w:bottom w:val="single" w:color="000000" w:sz="6" w:space="0"/>
              <w:right w:val="single" w:color="000000" w:sz="6" w:space="0"/>
            </w:tcBorders>
            <w:vAlign w:val="center"/>
          </w:tcPr>
          <w:p>
            <w:pPr>
              <w:pStyle w:val="42"/>
              <w:spacing w:before="14"/>
              <w:ind w:left="1134"/>
              <w:jc w:val="center"/>
              <w:rPr>
                <w:rFonts w:ascii="宋体" w:hAnsi="宋体" w:cs="宋体"/>
                <w:sz w:val="23"/>
                <w:szCs w:val="23"/>
              </w:rPr>
            </w:pPr>
            <w:r>
              <w:rPr>
                <w:rFonts w:ascii="宋体" w:hAnsi="宋体" w:cs="宋体"/>
                <w:sz w:val="23"/>
                <w:szCs w:val="23"/>
              </w:rPr>
              <w:t>其</w:t>
            </w:r>
            <w:r>
              <w:rPr>
                <w:rFonts w:ascii="宋体" w:hAnsi="宋体" w:cs="宋体"/>
                <w:spacing w:val="17"/>
                <w:sz w:val="23"/>
                <w:szCs w:val="23"/>
              </w:rPr>
              <w:t>他：</w:t>
            </w:r>
          </w:p>
        </w:tc>
        <w:tc>
          <w:tcPr>
            <w:tcW w:w="1517"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658"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875"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0" w:type="dxa"/>
            <w:left w:w="0" w:type="dxa"/>
            <w:bottom w:w="0" w:type="dxa"/>
            <w:right w:w="0" w:type="dxa"/>
          </w:tblCellMar>
        </w:tblPrEx>
        <w:trPr>
          <w:trHeight w:val="427" w:hRule="exact"/>
        </w:trPr>
        <w:tc>
          <w:tcPr>
            <w:tcW w:w="1900"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6625" w:type="dxa"/>
            <w:gridSpan w:val="6"/>
            <w:tcBorders>
              <w:top w:val="single" w:color="000000" w:sz="6" w:space="0"/>
              <w:left w:val="single" w:color="000000" w:sz="6" w:space="0"/>
              <w:bottom w:val="single" w:color="000000" w:sz="6" w:space="0"/>
              <w:right w:val="single" w:color="000000" w:sz="6" w:space="0"/>
            </w:tcBorders>
            <w:vAlign w:val="center"/>
          </w:tcPr>
          <w:p>
            <w:pPr>
              <w:pStyle w:val="42"/>
              <w:spacing w:before="14"/>
              <w:ind w:left="103"/>
              <w:jc w:val="center"/>
              <w:rPr>
                <w:rFonts w:ascii="宋体" w:hAnsi="宋体" w:cs="宋体"/>
                <w:sz w:val="23"/>
                <w:szCs w:val="23"/>
              </w:rPr>
            </w:pPr>
            <w:r>
              <w:rPr>
                <w:rFonts w:ascii="宋体" w:hAnsi="宋体" w:cs="宋体"/>
                <w:sz w:val="23"/>
                <w:szCs w:val="23"/>
              </w:rPr>
              <w:t>报</w:t>
            </w:r>
            <w:r>
              <w:rPr>
                <w:rFonts w:ascii="宋体" w:hAnsi="宋体" w:cs="宋体"/>
                <w:spacing w:val="23"/>
                <w:sz w:val="23"/>
                <w:szCs w:val="23"/>
              </w:rPr>
              <w:t>价总计</w:t>
            </w:r>
            <w:r>
              <w:rPr>
                <w:rFonts w:ascii="宋体" w:hAnsi="宋体" w:cs="宋体"/>
                <w:sz w:val="23"/>
                <w:szCs w:val="23"/>
              </w:rPr>
              <w:t>(大写)：</w:t>
            </w:r>
          </w:p>
        </w:tc>
        <w:tc>
          <w:tcPr>
            <w:tcW w:w="875" w:type="dxa"/>
            <w:tcBorders>
              <w:top w:val="single" w:color="000000" w:sz="6" w:space="0"/>
              <w:left w:val="single" w:color="000000" w:sz="6" w:space="0"/>
              <w:bottom w:val="single" w:color="000000" w:sz="6" w:space="0"/>
              <w:right w:val="single" w:color="000000" w:sz="6" w:space="0"/>
            </w:tcBorders>
            <w:vAlign w:val="center"/>
          </w:tcPr>
          <w:p>
            <w:pPr>
              <w:pStyle w:val="42"/>
              <w:spacing w:before="14"/>
              <w:ind w:left="95"/>
              <w:jc w:val="center"/>
              <w:rPr>
                <w:rFonts w:ascii="宋体" w:hAnsi="宋体" w:cs="宋体"/>
                <w:sz w:val="23"/>
                <w:szCs w:val="23"/>
              </w:rPr>
            </w:pPr>
            <w:r>
              <w:rPr>
                <w:rFonts w:ascii="宋体" w:hAnsi="宋体" w:cs="宋体"/>
                <w:w w:val="102"/>
                <w:sz w:val="23"/>
                <w:szCs w:val="23"/>
              </w:rPr>
              <w:t>￥</w:t>
            </w:r>
          </w:p>
        </w:tc>
      </w:tr>
    </w:tbl>
    <w:p>
      <w:pPr>
        <w:spacing w:before="196" w:line="391" w:lineRule="auto"/>
        <w:ind w:right="1571"/>
        <w:jc w:val="left"/>
        <w:rPr>
          <w:rFonts w:ascii="宋体" w:hAnsi="宋体" w:cs="宋体"/>
          <w:w w:val="102"/>
          <w:sz w:val="23"/>
          <w:szCs w:val="23"/>
        </w:rPr>
      </w:pPr>
      <w:r>
        <w:rPr>
          <w:rFonts w:hint="eastAsia" w:ascii="宋体" w:hAnsi="宋体" w:cs="宋体"/>
          <w:w w:val="102"/>
          <w:sz w:val="23"/>
          <w:szCs w:val="23"/>
        </w:rPr>
        <w:t>供应商</w:t>
      </w:r>
      <w:r>
        <w:rPr>
          <w:rFonts w:ascii="宋体" w:hAnsi="宋体" w:cs="宋体"/>
          <w:w w:val="102"/>
          <w:sz w:val="23"/>
          <w:szCs w:val="23"/>
        </w:rPr>
        <w:t xml:space="preserve">：（盖单位章） </w:t>
      </w:r>
    </w:p>
    <w:p>
      <w:pPr>
        <w:spacing w:before="196" w:line="391" w:lineRule="auto"/>
        <w:ind w:right="1571"/>
        <w:jc w:val="left"/>
        <w:rPr>
          <w:rFonts w:ascii="宋体" w:hAnsi="宋体" w:cs="宋体"/>
          <w:w w:val="102"/>
          <w:sz w:val="23"/>
          <w:szCs w:val="23"/>
        </w:rPr>
      </w:pPr>
      <w:r>
        <w:rPr>
          <w:rFonts w:ascii="宋体" w:hAnsi="宋体" w:cs="宋体"/>
          <w:w w:val="102"/>
          <w:sz w:val="23"/>
          <w:szCs w:val="23"/>
        </w:rPr>
        <w:t>法定代表人或其委托代理人</w:t>
      </w:r>
      <w:r>
        <w:rPr>
          <w:rFonts w:ascii="宋体" w:hAnsi="宋体" w:cs="宋体"/>
          <w:spacing w:val="3"/>
          <w:w w:val="102"/>
          <w:sz w:val="23"/>
          <w:szCs w:val="23"/>
        </w:rPr>
        <w:t>：</w:t>
      </w:r>
      <w:r>
        <w:rPr>
          <w:rFonts w:ascii="宋体" w:hAnsi="宋体" w:cs="宋体"/>
          <w:spacing w:val="-1"/>
          <w:w w:val="102"/>
          <w:sz w:val="23"/>
          <w:szCs w:val="23"/>
        </w:rPr>
        <w:t>(</w:t>
      </w:r>
      <w:r>
        <w:rPr>
          <w:rFonts w:ascii="宋体" w:hAnsi="宋体" w:cs="宋体"/>
          <w:w w:val="102"/>
          <w:sz w:val="23"/>
          <w:szCs w:val="23"/>
        </w:rPr>
        <w:t>签字或盖</w:t>
      </w:r>
      <w:r>
        <w:rPr>
          <w:rFonts w:ascii="宋体" w:hAnsi="宋体" w:cs="宋体"/>
          <w:spacing w:val="1"/>
          <w:w w:val="102"/>
          <w:sz w:val="23"/>
          <w:szCs w:val="23"/>
        </w:rPr>
        <w:t>章</w:t>
      </w:r>
      <w:r>
        <w:rPr>
          <w:rFonts w:ascii="宋体" w:hAnsi="宋体" w:cs="宋体"/>
          <w:w w:val="102"/>
          <w:sz w:val="23"/>
          <w:szCs w:val="23"/>
        </w:rPr>
        <w:t>)</w:t>
      </w:r>
    </w:p>
    <w:p>
      <w:pPr>
        <w:spacing w:before="196" w:line="391" w:lineRule="auto"/>
        <w:ind w:right="1571"/>
        <w:jc w:val="left"/>
        <w:rPr>
          <w:rFonts w:ascii="宋体" w:hAnsi="宋体" w:cs="宋体"/>
          <w:sz w:val="23"/>
          <w:szCs w:val="23"/>
        </w:rPr>
      </w:pPr>
      <w:r>
        <w:rPr>
          <w:rFonts w:ascii="宋体" w:hAnsi="宋体" w:cs="宋体"/>
          <w:w w:val="102"/>
          <w:sz w:val="23"/>
          <w:szCs w:val="23"/>
        </w:rPr>
        <w:t xml:space="preserve"> 日期：</w:t>
      </w:r>
      <w:r>
        <w:rPr>
          <w:rFonts w:hint="eastAsia" w:ascii="宋体" w:hAnsi="宋体" w:cs="宋体"/>
          <w:w w:val="102"/>
          <w:sz w:val="23"/>
          <w:szCs w:val="23"/>
          <w:lang w:val="en-US" w:eastAsia="zh-CN"/>
        </w:rPr>
        <w:t xml:space="preserve">  </w:t>
      </w:r>
      <w:r>
        <w:rPr>
          <w:rFonts w:ascii="宋体" w:hAnsi="宋体" w:cs="宋体"/>
          <w:w w:val="102"/>
          <w:sz w:val="23"/>
          <w:szCs w:val="23"/>
        </w:rPr>
        <w:t>年</w:t>
      </w:r>
      <w:r>
        <w:rPr>
          <w:rFonts w:hint="eastAsia" w:ascii="宋体" w:hAnsi="宋体" w:cs="宋体"/>
          <w:w w:val="102"/>
          <w:sz w:val="23"/>
          <w:szCs w:val="23"/>
          <w:lang w:val="en-US" w:eastAsia="zh-CN"/>
        </w:rPr>
        <w:t xml:space="preserve">  </w:t>
      </w:r>
      <w:r>
        <w:rPr>
          <w:rFonts w:ascii="宋体" w:hAnsi="宋体" w:cs="宋体"/>
          <w:w w:val="102"/>
          <w:sz w:val="23"/>
          <w:szCs w:val="23"/>
        </w:rPr>
        <w:t>月</w:t>
      </w:r>
      <w:r>
        <w:rPr>
          <w:rFonts w:hint="eastAsia" w:ascii="宋体" w:hAnsi="宋体" w:cs="宋体"/>
          <w:w w:val="102"/>
          <w:sz w:val="23"/>
          <w:szCs w:val="23"/>
          <w:lang w:val="en-US" w:eastAsia="zh-CN"/>
        </w:rPr>
        <w:t xml:space="preserve">   </w:t>
      </w:r>
      <w:r>
        <w:rPr>
          <w:rFonts w:hint="eastAsia" w:ascii="宋体" w:hAnsi="宋体" w:cs="宋体"/>
          <w:w w:val="102"/>
          <w:sz w:val="23"/>
          <w:szCs w:val="23"/>
        </w:rPr>
        <w:t>日</w:t>
      </w:r>
    </w:p>
    <w:p>
      <w:pPr>
        <w:rPr>
          <w:rFonts w:ascii="宋体" w:hAnsi="宋体" w:cs="宋体"/>
          <w:sz w:val="28"/>
          <w:szCs w:val="28"/>
        </w:rPr>
      </w:pPr>
      <w:r>
        <w:rPr>
          <w:rFonts w:hint="eastAsia" w:ascii="宋体" w:hAnsi="宋体" w:cs="宋体"/>
          <w:sz w:val="28"/>
          <w:szCs w:val="28"/>
        </w:rPr>
        <w:br w:type="page"/>
      </w:r>
    </w:p>
    <w:p>
      <w:pPr>
        <w:rPr>
          <w:rFonts w:ascii="宋体" w:hAnsi="宋体" w:cs="宋体"/>
          <w:sz w:val="22"/>
          <w:szCs w:val="22"/>
        </w:rPr>
      </w:pPr>
    </w:p>
    <w:p>
      <w:pPr>
        <w:jc w:val="center"/>
        <w:rPr>
          <w:b/>
          <w:bCs/>
        </w:rPr>
      </w:pPr>
      <w:r>
        <w:rPr>
          <w:rFonts w:hint="eastAsia"/>
          <w:b/>
          <w:bCs/>
        </w:rPr>
        <w:t>六</w:t>
      </w:r>
      <w:r>
        <w:rPr>
          <w:b/>
          <w:bCs/>
        </w:rPr>
        <w:t>、技术响应表</w:t>
      </w:r>
    </w:p>
    <w:p>
      <w:pPr>
        <w:rPr>
          <w:rFonts w:ascii="宋体" w:hAnsi="宋体" w:cs="宋体"/>
          <w:sz w:val="20"/>
          <w:szCs w:val="20"/>
        </w:rPr>
      </w:pPr>
    </w:p>
    <w:p>
      <w:pPr>
        <w:rPr>
          <w:rFonts w:ascii="宋体" w:hAnsi="宋体" w:cs="宋体"/>
          <w:sz w:val="20"/>
          <w:szCs w:val="20"/>
        </w:rPr>
      </w:pPr>
    </w:p>
    <w:p>
      <w:pPr>
        <w:spacing w:before="7"/>
        <w:rPr>
          <w:rFonts w:ascii="宋体" w:hAnsi="宋体" w:cs="宋体"/>
          <w:sz w:val="10"/>
          <w:szCs w:val="10"/>
        </w:rPr>
      </w:pPr>
    </w:p>
    <w:tbl>
      <w:tblPr>
        <w:tblStyle w:val="28"/>
        <w:tblW w:w="9101" w:type="dxa"/>
        <w:tblInd w:w="-472" w:type="dxa"/>
        <w:tblLayout w:type="fixed"/>
        <w:tblCellMar>
          <w:top w:w="0" w:type="dxa"/>
          <w:left w:w="0" w:type="dxa"/>
          <w:bottom w:w="0" w:type="dxa"/>
          <w:right w:w="0" w:type="dxa"/>
        </w:tblCellMar>
      </w:tblPr>
      <w:tblGrid>
        <w:gridCol w:w="834"/>
        <w:gridCol w:w="1433"/>
        <w:gridCol w:w="2252"/>
        <w:gridCol w:w="2681"/>
        <w:gridCol w:w="1901"/>
      </w:tblGrid>
      <w:tr>
        <w:tblPrEx>
          <w:tblCellMar>
            <w:top w:w="0" w:type="dxa"/>
            <w:left w:w="0" w:type="dxa"/>
            <w:bottom w:w="0" w:type="dxa"/>
            <w:right w:w="0" w:type="dxa"/>
          </w:tblCellMar>
        </w:tblPrEx>
        <w:trPr>
          <w:trHeight w:val="952" w:hRule="exact"/>
        </w:trPr>
        <w:tc>
          <w:tcPr>
            <w:tcW w:w="834" w:type="dxa"/>
            <w:tcBorders>
              <w:top w:val="single" w:color="000000" w:sz="6" w:space="0"/>
              <w:left w:val="single" w:color="000000" w:sz="6" w:space="0"/>
              <w:bottom w:val="single" w:color="000000" w:sz="6" w:space="0"/>
              <w:right w:val="single" w:color="000000" w:sz="6" w:space="0"/>
            </w:tcBorders>
            <w:vAlign w:val="center"/>
          </w:tcPr>
          <w:p>
            <w:pPr>
              <w:pStyle w:val="42"/>
              <w:spacing w:before="106"/>
              <w:ind w:right="155"/>
              <w:jc w:val="center"/>
              <w:rPr>
                <w:rFonts w:ascii="宋体" w:hAnsi="宋体" w:cs="宋体"/>
              </w:rPr>
            </w:pPr>
            <w:r>
              <w:rPr>
                <w:rFonts w:ascii="宋体" w:hAnsi="宋体" w:cs="宋体"/>
              </w:rPr>
              <w:t>序号</w:t>
            </w:r>
          </w:p>
        </w:tc>
        <w:tc>
          <w:tcPr>
            <w:tcW w:w="1433" w:type="dxa"/>
            <w:tcBorders>
              <w:top w:val="single" w:color="000000" w:sz="6" w:space="0"/>
              <w:left w:val="single" w:color="000000" w:sz="6" w:space="0"/>
              <w:bottom w:val="single" w:color="000000" w:sz="6" w:space="0"/>
              <w:right w:val="single" w:color="000000" w:sz="6" w:space="0"/>
            </w:tcBorders>
            <w:vAlign w:val="center"/>
          </w:tcPr>
          <w:p>
            <w:pPr>
              <w:pStyle w:val="42"/>
              <w:spacing w:before="106"/>
              <w:ind w:left="-8" w:right="13"/>
              <w:jc w:val="center"/>
              <w:rPr>
                <w:rFonts w:ascii="宋体" w:hAnsi="宋体" w:cs="宋体"/>
              </w:rPr>
            </w:pPr>
            <w:r>
              <w:rPr>
                <w:rFonts w:ascii="宋体" w:hAnsi="宋体" w:cs="宋体"/>
              </w:rPr>
              <w:t>货物名称</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42"/>
              <w:spacing w:before="106"/>
              <w:ind w:left="-8"/>
              <w:jc w:val="center"/>
              <w:rPr>
                <w:rFonts w:ascii="宋体" w:hAnsi="宋体" w:cs="宋体"/>
              </w:rPr>
            </w:pPr>
            <w:r>
              <w:rPr>
                <w:rFonts w:hint="eastAsia" w:ascii="宋体" w:hAnsi="宋体" w:cs="宋体"/>
              </w:rPr>
              <w:t>采购</w:t>
            </w:r>
            <w:r>
              <w:rPr>
                <w:rFonts w:ascii="宋体" w:hAnsi="宋体" w:cs="宋体"/>
              </w:rPr>
              <w:t>文件要求</w:t>
            </w:r>
          </w:p>
        </w:tc>
        <w:tc>
          <w:tcPr>
            <w:tcW w:w="2681" w:type="dxa"/>
            <w:tcBorders>
              <w:top w:val="single" w:color="000000" w:sz="6" w:space="0"/>
              <w:left w:val="single" w:color="000000" w:sz="6" w:space="0"/>
              <w:bottom w:val="single" w:color="000000" w:sz="6" w:space="0"/>
              <w:right w:val="single" w:color="000000" w:sz="6" w:space="0"/>
            </w:tcBorders>
            <w:vAlign w:val="center"/>
          </w:tcPr>
          <w:p>
            <w:pPr>
              <w:pStyle w:val="42"/>
              <w:spacing w:before="106"/>
              <w:ind w:left="97"/>
              <w:jc w:val="center"/>
              <w:rPr>
                <w:rFonts w:ascii="宋体" w:hAnsi="宋体" w:cs="宋体"/>
              </w:rPr>
            </w:pPr>
            <w:r>
              <w:rPr>
                <w:rFonts w:hint="eastAsia" w:ascii="宋体" w:hAnsi="宋体" w:cs="宋体"/>
              </w:rPr>
              <w:t>响应</w:t>
            </w:r>
            <w:r>
              <w:rPr>
                <w:rFonts w:ascii="宋体" w:hAnsi="宋体" w:cs="宋体"/>
              </w:rPr>
              <w:t>文件响应</w:t>
            </w:r>
          </w:p>
        </w:tc>
        <w:tc>
          <w:tcPr>
            <w:tcW w:w="1901" w:type="dxa"/>
            <w:tcBorders>
              <w:top w:val="single" w:color="000000" w:sz="6" w:space="0"/>
              <w:left w:val="single" w:color="000000" w:sz="6" w:space="0"/>
              <w:bottom w:val="single" w:color="000000" w:sz="6" w:space="0"/>
              <w:right w:val="single" w:color="000000" w:sz="6" w:space="0"/>
            </w:tcBorders>
            <w:vAlign w:val="center"/>
          </w:tcPr>
          <w:p>
            <w:pPr>
              <w:pStyle w:val="42"/>
              <w:spacing w:before="106"/>
              <w:ind w:left="97" w:right="96"/>
              <w:jc w:val="center"/>
              <w:rPr>
                <w:rFonts w:ascii="宋体" w:hAnsi="宋体" w:cs="宋体"/>
              </w:rPr>
            </w:pPr>
            <w:r>
              <w:rPr>
                <w:rFonts w:ascii="宋体" w:hAnsi="宋体" w:cs="宋体"/>
              </w:rPr>
              <w:t>偏离情况</w:t>
            </w:r>
          </w:p>
        </w:tc>
      </w:tr>
      <w:tr>
        <w:tblPrEx>
          <w:tblCellMar>
            <w:top w:w="0" w:type="dxa"/>
            <w:left w:w="0" w:type="dxa"/>
            <w:bottom w:w="0" w:type="dxa"/>
            <w:right w:w="0" w:type="dxa"/>
          </w:tblCellMar>
        </w:tblPrEx>
        <w:trPr>
          <w:trHeight w:val="450" w:hRule="exact"/>
        </w:trPr>
        <w:tc>
          <w:tcPr>
            <w:tcW w:w="834" w:type="dxa"/>
            <w:tcBorders>
              <w:top w:val="single" w:color="000000" w:sz="6" w:space="0"/>
              <w:left w:val="single" w:color="000000" w:sz="6" w:space="0"/>
              <w:bottom w:val="single" w:color="000000" w:sz="6" w:space="0"/>
              <w:right w:val="single" w:color="000000" w:sz="6" w:space="0"/>
            </w:tcBorders>
            <w:vAlign w:val="center"/>
          </w:tcPr>
          <w:p>
            <w:pPr>
              <w:pStyle w:val="42"/>
              <w:spacing w:line="227" w:lineRule="exact"/>
              <w:jc w:val="center"/>
              <w:rPr>
                <w:rFonts w:ascii="Arial" w:hAnsi="Arial" w:eastAsia="Arial" w:cs="Arial"/>
                <w:sz w:val="21"/>
                <w:szCs w:val="21"/>
              </w:rPr>
            </w:pPr>
            <w:r>
              <w:rPr>
                <w:rFonts w:ascii="Arial" w:hAnsi="Arial" w:eastAsia="Arial" w:cs="Arial"/>
                <w:w w:val="99"/>
                <w:sz w:val="21"/>
                <w:szCs w:val="21"/>
              </w:rPr>
              <w:t>…</w:t>
            </w:r>
          </w:p>
        </w:tc>
        <w:tc>
          <w:tcPr>
            <w:tcW w:w="1433"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252"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2681"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901"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pacing w:before="8"/>
        <w:rPr>
          <w:rFonts w:ascii="宋体" w:hAnsi="宋体" w:cs="宋体"/>
          <w:sz w:val="5"/>
          <w:szCs w:val="5"/>
        </w:rPr>
      </w:pPr>
    </w:p>
    <w:p>
      <w:pPr>
        <w:rPr>
          <w:rFonts w:ascii="宋体" w:hAnsi="宋体" w:cs="宋体"/>
          <w:sz w:val="28"/>
          <w:szCs w:val="36"/>
        </w:rPr>
      </w:pPr>
      <w:r>
        <w:rPr>
          <w:rFonts w:hint="eastAsia" w:ascii="宋体" w:hAnsi="宋体" w:cs="宋体"/>
          <w:sz w:val="28"/>
          <w:szCs w:val="36"/>
        </w:rPr>
        <w:t>注：供应商必须如实填写表格， “偏离情况”是指“正偏离”、“负偏离”或“无偏离”。</w:t>
      </w:r>
    </w:p>
    <w:p>
      <w:pPr>
        <w:rPr>
          <w:rFonts w:ascii="宋体" w:hAnsi="宋体" w:cs="宋体"/>
          <w:sz w:val="28"/>
          <w:szCs w:val="36"/>
        </w:rPr>
      </w:pPr>
      <w:r>
        <w:rPr>
          <w:rFonts w:hint="eastAsia" w:ascii="宋体" w:hAnsi="宋体" w:cs="宋体"/>
          <w:sz w:val="28"/>
          <w:szCs w:val="36"/>
        </w:rPr>
        <w:t>供应商：（盖单位章）</w:t>
      </w:r>
    </w:p>
    <w:p>
      <w:pPr>
        <w:rPr>
          <w:rFonts w:ascii="宋体" w:hAnsi="宋体" w:cs="宋体"/>
          <w:sz w:val="28"/>
          <w:szCs w:val="36"/>
        </w:rPr>
      </w:pPr>
      <w:r>
        <w:rPr>
          <w:rFonts w:hint="eastAsia" w:ascii="宋体" w:hAnsi="宋体" w:cs="宋体"/>
          <w:sz w:val="28"/>
          <w:szCs w:val="36"/>
        </w:rPr>
        <w:t xml:space="preserve">法定代表人或其委托代理人：(签字或盖章) </w:t>
      </w:r>
    </w:p>
    <w:p>
      <w:pPr>
        <w:rPr>
          <w:rFonts w:ascii="宋体" w:hAnsi="宋体" w:cs="宋体"/>
          <w:sz w:val="28"/>
          <w:szCs w:val="36"/>
        </w:rPr>
      </w:pPr>
      <w:r>
        <w:rPr>
          <w:rFonts w:hint="eastAsia" w:ascii="宋体" w:hAnsi="宋体" w:cs="宋体"/>
          <w:sz w:val="28"/>
          <w:szCs w:val="36"/>
        </w:rPr>
        <w:t>日期：</w:t>
      </w:r>
      <w:r>
        <w:rPr>
          <w:rFonts w:hint="eastAsia" w:ascii="宋体" w:hAnsi="宋体" w:cs="宋体"/>
          <w:sz w:val="28"/>
          <w:szCs w:val="36"/>
        </w:rPr>
        <w:tab/>
      </w:r>
      <w:r>
        <w:rPr>
          <w:rFonts w:hint="eastAsia" w:ascii="宋体" w:hAnsi="宋体" w:cs="宋体"/>
          <w:sz w:val="28"/>
          <w:szCs w:val="36"/>
        </w:rPr>
        <w:t>年</w:t>
      </w:r>
      <w:r>
        <w:rPr>
          <w:rFonts w:hint="eastAsia" w:ascii="宋体" w:hAnsi="宋体" w:cs="宋体"/>
          <w:sz w:val="28"/>
          <w:szCs w:val="36"/>
        </w:rPr>
        <w:tab/>
      </w:r>
      <w:r>
        <w:rPr>
          <w:rFonts w:hint="eastAsia" w:ascii="宋体" w:hAnsi="宋体" w:cs="宋体"/>
          <w:sz w:val="28"/>
          <w:szCs w:val="36"/>
        </w:rPr>
        <w:t>月</w:t>
      </w:r>
      <w:r>
        <w:rPr>
          <w:rFonts w:hint="eastAsia" w:ascii="宋体" w:hAnsi="宋体" w:cs="宋体"/>
          <w:sz w:val="28"/>
          <w:szCs w:val="36"/>
        </w:rPr>
        <w:tab/>
      </w:r>
      <w:r>
        <w:rPr>
          <w:rFonts w:hint="eastAsia" w:ascii="宋体" w:hAnsi="宋体" w:cs="宋体"/>
          <w:sz w:val="28"/>
          <w:szCs w:val="36"/>
        </w:rPr>
        <w:t>日</w:t>
      </w:r>
    </w:p>
    <w:p>
      <w:pPr>
        <w:rPr>
          <w:rFonts w:ascii="宋体" w:hAnsi="宋体" w:cs="宋体"/>
          <w:sz w:val="28"/>
          <w:szCs w:val="28"/>
        </w:rPr>
      </w:pPr>
      <w:r>
        <w:rPr>
          <w:rFonts w:hint="eastAsia" w:ascii="宋体" w:hAnsi="宋体" w:cs="宋体"/>
          <w:sz w:val="28"/>
          <w:szCs w:val="28"/>
        </w:rPr>
        <w:br w:type="page"/>
      </w:r>
    </w:p>
    <w:p>
      <w:pPr>
        <w:jc w:val="center"/>
        <w:rPr>
          <w:b/>
          <w:bCs/>
        </w:rPr>
      </w:pPr>
      <w:r>
        <w:rPr>
          <w:rFonts w:hint="eastAsia"/>
          <w:b/>
          <w:bCs/>
        </w:rPr>
        <w:t>七、供应商</w:t>
      </w:r>
      <w:r>
        <w:rPr>
          <w:b/>
          <w:bCs/>
        </w:rPr>
        <w:t>资格审查资料</w:t>
      </w:r>
    </w:p>
    <w:p>
      <w:pPr>
        <w:spacing w:before="11"/>
        <w:rPr>
          <w:rFonts w:ascii="宋体" w:hAnsi="宋体" w:cs="宋体"/>
          <w:b/>
          <w:bCs/>
          <w:sz w:val="21"/>
          <w:szCs w:val="21"/>
        </w:rPr>
      </w:pPr>
    </w:p>
    <w:p>
      <w:pPr>
        <w:numPr>
          <w:ilvl w:val="0"/>
          <w:numId w:val="9"/>
        </w:numPr>
        <w:jc w:val="center"/>
        <w:rPr>
          <w:sz w:val="28"/>
          <w:szCs w:val="36"/>
        </w:rPr>
      </w:pPr>
      <w:r>
        <w:rPr>
          <w:rFonts w:hint="eastAsia"/>
          <w:sz w:val="28"/>
          <w:szCs w:val="36"/>
        </w:rPr>
        <w:t>供应商</w:t>
      </w:r>
      <w:r>
        <w:rPr>
          <w:sz w:val="28"/>
          <w:szCs w:val="36"/>
        </w:rPr>
        <w:t>基本情况表</w:t>
      </w:r>
    </w:p>
    <w:p>
      <w:pPr>
        <w:spacing w:before="12"/>
        <w:rPr>
          <w:rFonts w:ascii="宋体" w:hAnsi="宋体" w:cs="宋体"/>
          <w:b/>
          <w:bCs/>
          <w:sz w:val="14"/>
          <w:szCs w:val="14"/>
        </w:rPr>
      </w:pPr>
    </w:p>
    <w:tbl>
      <w:tblPr>
        <w:tblStyle w:val="28"/>
        <w:tblW w:w="8683" w:type="dxa"/>
        <w:tblInd w:w="-288" w:type="dxa"/>
        <w:tblLayout w:type="fixed"/>
        <w:tblCellMar>
          <w:top w:w="0" w:type="dxa"/>
          <w:left w:w="0" w:type="dxa"/>
          <w:bottom w:w="0" w:type="dxa"/>
          <w:right w:w="0" w:type="dxa"/>
        </w:tblCellMar>
      </w:tblPr>
      <w:tblGrid>
        <w:gridCol w:w="2032"/>
        <w:gridCol w:w="1800"/>
        <w:gridCol w:w="2258"/>
        <w:gridCol w:w="1576"/>
        <w:gridCol w:w="1017"/>
      </w:tblGrid>
      <w:tr>
        <w:tblPrEx>
          <w:tblCellMar>
            <w:top w:w="0" w:type="dxa"/>
            <w:left w:w="0" w:type="dxa"/>
            <w:bottom w:w="0" w:type="dxa"/>
            <w:right w:w="0" w:type="dxa"/>
          </w:tblCellMar>
        </w:tblPrEx>
        <w:trPr>
          <w:trHeight w:val="623" w:hRule="exact"/>
        </w:trPr>
        <w:tc>
          <w:tcPr>
            <w:tcW w:w="2032" w:type="dxa"/>
            <w:tcBorders>
              <w:top w:val="single" w:color="000000" w:sz="2" w:space="0"/>
              <w:left w:val="single" w:color="000000" w:sz="2" w:space="0"/>
              <w:bottom w:val="single" w:color="000000" w:sz="2" w:space="0"/>
              <w:right w:val="single" w:color="000000" w:sz="2" w:space="0"/>
            </w:tcBorders>
          </w:tcPr>
          <w:p>
            <w:pPr>
              <w:pStyle w:val="42"/>
              <w:spacing w:before="174"/>
              <w:ind w:left="322"/>
              <w:jc w:val="left"/>
              <w:rPr>
                <w:rFonts w:ascii="宋体" w:hAnsi="宋体" w:cs="宋体"/>
              </w:rPr>
            </w:pPr>
            <w:r>
              <w:rPr>
                <w:rFonts w:ascii="宋体" w:hAnsi="宋体" w:cs="宋体"/>
              </w:rPr>
              <w:t>单位名称</w:t>
            </w:r>
          </w:p>
        </w:tc>
        <w:tc>
          <w:tcPr>
            <w:tcW w:w="6651" w:type="dxa"/>
            <w:gridSpan w:val="4"/>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637" w:hRule="exact"/>
        </w:trPr>
        <w:tc>
          <w:tcPr>
            <w:tcW w:w="2032" w:type="dxa"/>
            <w:tcBorders>
              <w:top w:val="single" w:color="000000" w:sz="2" w:space="0"/>
              <w:left w:val="single" w:color="000000" w:sz="2" w:space="0"/>
              <w:bottom w:val="single" w:color="000000" w:sz="2" w:space="0"/>
              <w:right w:val="single" w:color="000000" w:sz="2" w:space="0"/>
            </w:tcBorders>
          </w:tcPr>
          <w:p>
            <w:pPr>
              <w:pStyle w:val="42"/>
              <w:spacing w:before="181"/>
              <w:ind w:left="322"/>
              <w:jc w:val="left"/>
              <w:rPr>
                <w:rFonts w:ascii="宋体" w:hAnsi="宋体" w:cs="宋体"/>
              </w:rPr>
            </w:pPr>
            <w:r>
              <w:rPr>
                <w:rFonts w:ascii="宋体" w:hAnsi="宋体" w:cs="宋体"/>
              </w:rPr>
              <w:t>注册地址</w:t>
            </w:r>
          </w:p>
        </w:tc>
        <w:tc>
          <w:tcPr>
            <w:tcW w:w="4058" w:type="dxa"/>
            <w:gridSpan w:val="2"/>
            <w:tcBorders>
              <w:top w:val="single" w:color="000000" w:sz="2" w:space="0"/>
              <w:left w:val="single" w:color="000000" w:sz="2" w:space="0"/>
              <w:bottom w:val="single" w:color="000000" w:sz="2" w:space="0"/>
              <w:right w:val="single" w:color="000000" w:sz="2" w:space="0"/>
            </w:tcBorders>
          </w:tcPr>
          <w:p/>
        </w:tc>
        <w:tc>
          <w:tcPr>
            <w:tcW w:w="1576" w:type="dxa"/>
            <w:tcBorders>
              <w:top w:val="single" w:color="000000" w:sz="2" w:space="0"/>
              <w:left w:val="single" w:color="000000" w:sz="2" w:space="0"/>
              <w:bottom w:val="single" w:color="000000" w:sz="2" w:space="0"/>
              <w:right w:val="single" w:color="000000" w:sz="2" w:space="0"/>
            </w:tcBorders>
          </w:tcPr>
          <w:p>
            <w:pPr>
              <w:pStyle w:val="42"/>
              <w:spacing w:before="181"/>
              <w:ind w:left="577"/>
              <w:jc w:val="left"/>
              <w:rPr>
                <w:rFonts w:ascii="宋体" w:hAnsi="宋体" w:cs="宋体"/>
              </w:rPr>
            </w:pPr>
            <w:r>
              <w:rPr>
                <w:rFonts w:ascii="宋体" w:hAnsi="宋体" w:cs="宋体"/>
              </w:rPr>
              <w:t>邮政编码</w:t>
            </w:r>
          </w:p>
        </w:tc>
        <w:tc>
          <w:tcPr>
            <w:tcW w:w="1017" w:type="dxa"/>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623" w:hRule="exact"/>
        </w:trPr>
        <w:tc>
          <w:tcPr>
            <w:tcW w:w="2032" w:type="dxa"/>
            <w:vMerge w:val="restart"/>
            <w:tcBorders>
              <w:top w:val="single" w:color="000000" w:sz="2" w:space="0"/>
              <w:left w:val="single" w:color="000000" w:sz="2" w:space="0"/>
              <w:right w:val="single" w:color="000000" w:sz="2" w:space="0"/>
            </w:tcBorders>
          </w:tcPr>
          <w:p>
            <w:pPr>
              <w:pStyle w:val="42"/>
              <w:jc w:val="left"/>
              <w:rPr>
                <w:rFonts w:ascii="宋体" w:hAnsi="宋体" w:cs="宋体"/>
                <w:b/>
                <w:bCs/>
              </w:rPr>
            </w:pPr>
          </w:p>
          <w:p>
            <w:pPr>
              <w:pStyle w:val="42"/>
              <w:spacing w:before="175"/>
              <w:ind w:left="322"/>
              <w:jc w:val="left"/>
              <w:rPr>
                <w:rFonts w:ascii="宋体" w:hAnsi="宋体" w:cs="宋体"/>
              </w:rPr>
            </w:pPr>
            <w:r>
              <w:rPr>
                <w:rFonts w:ascii="宋体" w:hAnsi="宋体" w:cs="宋体"/>
              </w:rPr>
              <w:t>联系方式</w:t>
            </w:r>
          </w:p>
        </w:tc>
        <w:tc>
          <w:tcPr>
            <w:tcW w:w="1800" w:type="dxa"/>
            <w:tcBorders>
              <w:top w:val="single" w:color="000000" w:sz="2" w:space="0"/>
              <w:left w:val="single" w:color="000000" w:sz="2" w:space="0"/>
              <w:bottom w:val="single" w:color="000000" w:sz="2" w:space="0"/>
              <w:right w:val="single" w:color="000000" w:sz="2" w:space="0"/>
            </w:tcBorders>
          </w:tcPr>
          <w:p>
            <w:pPr>
              <w:pStyle w:val="42"/>
              <w:spacing w:before="174"/>
              <w:ind w:left="532"/>
              <w:jc w:val="left"/>
              <w:rPr>
                <w:rFonts w:ascii="宋体" w:hAnsi="宋体" w:cs="宋体"/>
              </w:rPr>
            </w:pPr>
            <w:r>
              <w:rPr>
                <w:rFonts w:ascii="宋体" w:hAnsi="宋体" w:cs="宋体"/>
              </w:rPr>
              <w:t>联系人</w:t>
            </w:r>
          </w:p>
        </w:tc>
        <w:tc>
          <w:tcPr>
            <w:tcW w:w="2258" w:type="dxa"/>
            <w:tcBorders>
              <w:top w:val="single" w:color="000000" w:sz="2" w:space="0"/>
              <w:left w:val="single" w:color="000000" w:sz="2" w:space="0"/>
              <w:bottom w:val="single" w:color="000000" w:sz="2" w:space="0"/>
              <w:right w:val="single" w:color="000000" w:sz="2" w:space="0"/>
            </w:tcBorders>
          </w:tcPr>
          <w:p/>
        </w:tc>
        <w:tc>
          <w:tcPr>
            <w:tcW w:w="1576" w:type="dxa"/>
            <w:tcBorders>
              <w:top w:val="single" w:color="000000" w:sz="2" w:space="0"/>
              <w:left w:val="single" w:color="000000" w:sz="2" w:space="0"/>
              <w:bottom w:val="single" w:color="000000" w:sz="2" w:space="0"/>
              <w:right w:val="single" w:color="000000" w:sz="2" w:space="0"/>
            </w:tcBorders>
          </w:tcPr>
          <w:p>
            <w:pPr>
              <w:pStyle w:val="42"/>
              <w:spacing w:before="174"/>
              <w:jc w:val="center"/>
              <w:rPr>
                <w:rFonts w:ascii="宋体" w:hAnsi="宋体" w:cs="宋体"/>
              </w:rPr>
            </w:pPr>
            <w:r>
              <w:rPr>
                <w:rFonts w:ascii="宋体" w:hAnsi="宋体" w:cs="宋体"/>
              </w:rPr>
              <w:t>电话</w:t>
            </w:r>
          </w:p>
        </w:tc>
        <w:tc>
          <w:tcPr>
            <w:tcW w:w="1017" w:type="dxa"/>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630" w:hRule="exact"/>
        </w:trPr>
        <w:tc>
          <w:tcPr>
            <w:tcW w:w="2032" w:type="dxa"/>
            <w:vMerge w:val="continue"/>
            <w:tcBorders>
              <w:left w:val="single" w:color="000000" w:sz="2" w:space="0"/>
              <w:bottom w:val="single" w:color="000000" w:sz="2" w:space="0"/>
              <w:right w:val="single" w:color="000000" w:sz="2" w:space="0"/>
            </w:tcBorders>
          </w:tcPr>
          <w:p/>
        </w:tc>
        <w:tc>
          <w:tcPr>
            <w:tcW w:w="1800" w:type="dxa"/>
            <w:tcBorders>
              <w:top w:val="single" w:color="000000" w:sz="2" w:space="0"/>
              <w:left w:val="single" w:color="000000" w:sz="2" w:space="0"/>
              <w:bottom w:val="single" w:color="000000" w:sz="2" w:space="0"/>
              <w:right w:val="single" w:color="000000" w:sz="2" w:space="0"/>
            </w:tcBorders>
          </w:tcPr>
          <w:p>
            <w:pPr>
              <w:pStyle w:val="42"/>
              <w:spacing w:before="173"/>
              <w:ind w:right="5"/>
              <w:jc w:val="center"/>
              <w:rPr>
                <w:rFonts w:ascii="宋体" w:hAnsi="宋体" w:cs="宋体"/>
              </w:rPr>
            </w:pPr>
            <w:r>
              <w:rPr>
                <w:rFonts w:ascii="宋体" w:hAnsi="宋体" w:cs="宋体"/>
              </w:rPr>
              <w:t>传真</w:t>
            </w:r>
          </w:p>
        </w:tc>
        <w:tc>
          <w:tcPr>
            <w:tcW w:w="2258" w:type="dxa"/>
            <w:tcBorders>
              <w:top w:val="single" w:color="000000" w:sz="2" w:space="0"/>
              <w:left w:val="single" w:color="000000" w:sz="2" w:space="0"/>
              <w:bottom w:val="single" w:color="000000" w:sz="2" w:space="0"/>
              <w:right w:val="single" w:color="000000" w:sz="2" w:space="0"/>
            </w:tcBorders>
          </w:tcPr>
          <w:p/>
        </w:tc>
        <w:tc>
          <w:tcPr>
            <w:tcW w:w="1576" w:type="dxa"/>
            <w:tcBorders>
              <w:top w:val="single" w:color="000000" w:sz="2" w:space="0"/>
              <w:left w:val="single" w:color="000000" w:sz="2" w:space="0"/>
              <w:bottom w:val="single" w:color="000000" w:sz="2" w:space="0"/>
              <w:right w:val="single" w:color="000000" w:sz="2" w:space="0"/>
            </w:tcBorders>
          </w:tcPr>
          <w:p>
            <w:pPr>
              <w:pStyle w:val="42"/>
              <w:spacing w:before="173"/>
              <w:jc w:val="center"/>
              <w:rPr>
                <w:rFonts w:ascii="宋体" w:hAnsi="宋体" w:cs="宋体"/>
              </w:rPr>
            </w:pPr>
            <w:r>
              <w:rPr>
                <w:rFonts w:ascii="宋体" w:hAnsi="宋体" w:cs="宋体"/>
              </w:rPr>
              <w:t>网址</w:t>
            </w:r>
          </w:p>
        </w:tc>
        <w:tc>
          <w:tcPr>
            <w:tcW w:w="1017" w:type="dxa"/>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772" w:hRule="exact"/>
        </w:trPr>
        <w:tc>
          <w:tcPr>
            <w:tcW w:w="2032" w:type="dxa"/>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sz w:val="19"/>
                <w:szCs w:val="19"/>
              </w:rPr>
            </w:pPr>
          </w:p>
          <w:p>
            <w:pPr>
              <w:pStyle w:val="42"/>
              <w:ind w:left="202"/>
              <w:jc w:val="left"/>
              <w:rPr>
                <w:rFonts w:ascii="宋体" w:hAnsi="宋体" w:cs="宋体"/>
              </w:rPr>
            </w:pPr>
            <w:r>
              <w:rPr>
                <w:rFonts w:ascii="宋体" w:hAnsi="宋体" w:cs="宋体"/>
              </w:rPr>
              <w:t>法人代表人</w:t>
            </w:r>
          </w:p>
        </w:tc>
        <w:tc>
          <w:tcPr>
            <w:tcW w:w="1800" w:type="dxa"/>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sz w:val="19"/>
                <w:szCs w:val="19"/>
              </w:rPr>
            </w:pPr>
          </w:p>
          <w:p>
            <w:pPr>
              <w:pStyle w:val="42"/>
              <w:ind w:right="5"/>
              <w:jc w:val="center"/>
              <w:rPr>
                <w:rFonts w:ascii="宋体" w:hAnsi="宋体" w:cs="宋体"/>
              </w:rPr>
            </w:pPr>
            <w:r>
              <w:rPr>
                <w:rFonts w:ascii="宋体" w:hAnsi="宋体" w:cs="宋体"/>
              </w:rPr>
              <w:t>姓名</w:t>
            </w:r>
          </w:p>
        </w:tc>
        <w:tc>
          <w:tcPr>
            <w:tcW w:w="2258" w:type="dxa"/>
            <w:tcBorders>
              <w:top w:val="single" w:color="000000" w:sz="2" w:space="0"/>
              <w:left w:val="single" w:color="000000" w:sz="2" w:space="0"/>
              <w:bottom w:val="single" w:color="000000" w:sz="2" w:space="0"/>
              <w:right w:val="single" w:color="000000" w:sz="2" w:space="0"/>
            </w:tcBorders>
          </w:tcPr>
          <w:p/>
        </w:tc>
        <w:tc>
          <w:tcPr>
            <w:tcW w:w="1576" w:type="dxa"/>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sz w:val="19"/>
                <w:szCs w:val="19"/>
              </w:rPr>
            </w:pPr>
          </w:p>
          <w:p>
            <w:pPr>
              <w:pStyle w:val="42"/>
              <w:jc w:val="center"/>
              <w:rPr>
                <w:rFonts w:ascii="宋体" w:hAnsi="宋体" w:cs="宋体"/>
              </w:rPr>
            </w:pPr>
            <w:r>
              <w:rPr>
                <w:rFonts w:ascii="宋体" w:hAnsi="宋体" w:cs="宋体"/>
              </w:rPr>
              <w:t>电话</w:t>
            </w:r>
          </w:p>
        </w:tc>
        <w:tc>
          <w:tcPr>
            <w:tcW w:w="1017" w:type="dxa"/>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773" w:hRule="exact"/>
        </w:trPr>
        <w:tc>
          <w:tcPr>
            <w:tcW w:w="2032" w:type="dxa"/>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sz w:val="19"/>
                <w:szCs w:val="19"/>
              </w:rPr>
            </w:pPr>
          </w:p>
          <w:p>
            <w:pPr>
              <w:pStyle w:val="42"/>
              <w:ind w:left="322"/>
              <w:jc w:val="left"/>
              <w:rPr>
                <w:rFonts w:ascii="宋体" w:hAnsi="宋体" w:cs="宋体"/>
              </w:rPr>
            </w:pPr>
            <w:r>
              <w:rPr>
                <w:rFonts w:ascii="宋体" w:hAnsi="宋体" w:cs="宋体"/>
              </w:rPr>
              <w:t>成立时间</w:t>
            </w:r>
          </w:p>
        </w:tc>
        <w:tc>
          <w:tcPr>
            <w:tcW w:w="4058" w:type="dxa"/>
            <w:gridSpan w:val="2"/>
            <w:tcBorders>
              <w:top w:val="single" w:color="000000" w:sz="2" w:space="0"/>
              <w:left w:val="single" w:color="000000" w:sz="2" w:space="0"/>
              <w:bottom w:val="single" w:color="000000" w:sz="2" w:space="0"/>
              <w:right w:val="single" w:color="000000" w:sz="2" w:space="0"/>
            </w:tcBorders>
          </w:tcPr>
          <w:p/>
        </w:tc>
        <w:tc>
          <w:tcPr>
            <w:tcW w:w="2593" w:type="dxa"/>
            <w:gridSpan w:val="2"/>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sz w:val="19"/>
                <w:szCs w:val="19"/>
              </w:rPr>
            </w:pPr>
          </w:p>
          <w:p>
            <w:pPr>
              <w:pStyle w:val="42"/>
              <w:ind w:left="105"/>
              <w:jc w:val="left"/>
              <w:rPr>
                <w:rFonts w:ascii="宋体" w:hAnsi="宋体" w:cs="宋体"/>
              </w:rPr>
            </w:pPr>
            <w:r>
              <w:rPr>
                <w:rFonts w:ascii="宋体" w:hAnsi="宋体" w:cs="宋体"/>
              </w:rPr>
              <w:t>员工总人数：</w:t>
            </w:r>
          </w:p>
        </w:tc>
      </w:tr>
      <w:tr>
        <w:tblPrEx>
          <w:tblCellMar>
            <w:top w:w="0" w:type="dxa"/>
            <w:left w:w="0" w:type="dxa"/>
            <w:bottom w:w="0" w:type="dxa"/>
            <w:right w:w="0" w:type="dxa"/>
          </w:tblCellMar>
        </w:tblPrEx>
        <w:trPr>
          <w:trHeight w:val="922" w:hRule="exact"/>
        </w:trPr>
        <w:tc>
          <w:tcPr>
            <w:tcW w:w="2032" w:type="dxa"/>
            <w:tcBorders>
              <w:top w:val="single" w:color="000000" w:sz="2" w:space="0"/>
              <w:left w:val="single" w:color="000000" w:sz="2" w:space="0"/>
              <w:bottom w:val="single" w:color="000000" w:sz="2" w:space="0"/>
              <w:right w:val="single" w:color="000000" w:sz="2" w:space="0"/>
            </w:tcBorders>
          </w:tcPr>
          <w:p>
            <w:pPr>
              <w:pStyle w:val="42"/>
              <w:spacing w:before="9"/>
              <w:jc w:val="left"/>
              <w:rPr>
                <w:rFonts w:ascii="宋体" w:hAnsi="宋体" w:cs="宋体"/>
                <w:b/>
                <w:bCs/>
              </w:rPr>
            </w:pPr>
          </w:p>
          <w:p>
            <w:pPr>
              <w:pStyle w:val="42"/>
              <w:ind w:left="322"/>
              <w:jc w:val="left"/>
              <w:rPr>
                <w:rFonts w:ascii="宋体" w:hAnsi="宋体" w:cs="宋体"/>
              </w:rPr>
            </w:pPr>
            <w:r>
              <w:rPr>
                <w:rFonts w:ascii="宋体" w:hAnsi="宋体" w:cs="宋体"/>
              </w:rPr>
              <w:t>开户银行</w:t>
            </w:r>
          </w:p>
        </w:tc>
        <w:tc>
          <w:tcPr>
            <w:tcW w:w="6651" w:type="dxa"/>
            <w:gridSpan w:val="4"/>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930" w:hRule="exact"/>
        </w:trPr>
        <w:tc>
          <w:tcPr>
            <w:tcW w:w="2032" w:type="dxa"/>
            <w:tcBorders>
              <w:top w:val="single" w:color="000000" w:sz="2" w:space="0"/>
              <w:left w:val="single" w:color="000000" w:sz="2" w:space="0"/>
              <w:bottom w:val="single" w:color="000000" w:sz="2" w:space="0"/>
              <w:right w:val="single" w:color="000000" w:sz="2" w:space="0"/>
            </w:tcBorders>
          </w:tcPr>
          <w:p>
            <w:pPr>
              <w:pStyle w:val="42"/>
              <w:spacing w:before="10"/>
              <w:jc w:val="left"/>
              <w:rPr>
                <w:rFonts w:ascii="宋体" w:hAnsi="宋体" w:cs="宋体"/>
                <w:b/>
                <w:bCs/>
              </w:rPr>
            </w:pPr>
          </w:p>
          <w:p>
            <w:pPr>
              <w:pStyle w:val="42"/>
              <w:ind w:left="6"/>
              <w:jc w:val="center"/>
              <w:rPr>
                <w:rFonts w:ascii="宋体" w:hAnsi="宋体" w:cs="宋体"/>
              </w:rPr>
            </w:pPr>
            <w:r>
              <w:rPr>
                <w:rFonts w:ascii="宋体" w:hAnsi="宋体" w:cs="宋体"/>
              </w:rPr>
              <w:t>账号</w:t>
            </w:r>
          </w:p>
        </w:tc>
        <w:tc>
          <w:tcPr>
            <w:tcW w:w="6651" w:type="dxa"/>
            <w:gridSpan w:val="4"/>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1635" w:hRule="exact"/>
        </w:trPr>
        <w:tc>
          <w:tcPr>
            <w:tcW w:w="2032" w:type="dxa"/>
            <w:tcBorders>
              <w:top w:val="single" w:color="000000" w:sz="2" w:space="0"/>
              <w:left w:val="single" w:color="000000" w:sz="2" w:space="0"/>
              <w:bottom w:val="single" w:color="000000" w:sz="2" w:space="0"/>
              <w:right w:val="single" w:color="000000" w:sz="2" w:space="0"/>
            </w:tcBorders>
          </w:tcPr>
          <w:p>
            <w:pPr>
              <w:pStyle w:val="42"/>
              <w:jc w:val="left"/>
              <w:rPr>
                <w:rFonts w:ascii="宋体" w:hAnsi="宋体" w:cs="宋体"/>
                <w:b/>
                <w:bCs/>
              </w:rPr>
            </w:pPr>
          </w:p>
          <w:p>
            <w:pPr>
              <w:pStyle w:val="42"/>
              <w:spacing w:before="9"/>
              <w:jc w:val="left"/>
              <w:rPr>
                <w:rFonts w:ascii="宋体" w:hAnsi="宋体" w:cs="宋体"/>
                <w:b/>
                <w:bCs/>
                <w:sz w:val="27"/>
                <w:szCs w:val="27"/>
              </w:rPr>
            </w:pPr>
          </w:p>
          <w:p>
            <w:pPr>
              <w:pStyle w:val="42"/>
              <w:ind w:left="322"/>
              <w:jc w:val="left"/>
              <w:rPr>
                <w:rFonts w:ascii="宋体" w:hAnsi="宋体" w:cs="宋体"/>
              </w:rPr>
            </w:pPr>
            <w:r>
              <w:rPr>
                <w:rFonts w:ascii="宋体" w:hAnsi="宋体" w:cs="宋体"/>
              </w:rPr>
              <w:t>营业范围</w:t>
            </w:r>
          </w:p>
        </w:tc>
        <w:tc>
          <w:tcPr>
            <w:tcW w:w="6651" w:type="dxa"/>
            <w:gridSpan w:val="4"/>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0" w:type="dxa"/>
          </w:tblCellMar>
        </w:tblPrEx>
        <w:trPr>
          <w:trHeight w:val="690" w:hRule="exact"/>
        </w:trPr>
        <w:tc>
          <w:tcPr>
            <w:tcW w:w="2032" w:type="dxa"/>
            <w:tcBorders>
              <w:top w:val="single" w:color="000000" w:sz="2" w:space="0"/>
              <w:left w:val="single" w:color="000000" w:sz="2" w:space="0"/>
              <w:bottom w:val="single" w:color="000000" w:sz="2" w:space="0"/>
              <w:right w:val="single" w:color="000000" w:sz="2" w:space="0"/>
            </w:tcBorders>
          </w:tcPr>
          <w:p>
            <w:pPr>
              <w:pStyle w:val="42"/>
              <w:spacing w:before="203"/>
              <w:ind w:left="6"/>
              <w:jc w:val="center"/>
              <w:rPr>
                <w:rFonts w:ascii="宋体" w:hAnsi="宋体" w:cs="宋体"/>
              </w:rPr>
            </w:pPr>
            <w:r>
              <w:rPr>
                <w:rFonts w:ascii="宋体" w:hAnsi="宋体" w:cs="宋体"/>
              </w:rPr>
              <w:t>备注</w:t>
            </w:r>
          </w:p>
        </w:tc>
        <w:tc>
          <w:tcPr>
            <w:tcW w:w="6651" w:type="dxa"/>
            <w:gridSpan w:val="4"/>
            <w:tcBorders>
              <w:top w:val="single" w:color="000000" w:sz="2" w:space="0"/>
              <w:left w:val="single" w:color="000000" w:sz="2" w:space="0"/>
              <w:bottom w:val="single" w:color="000000" w:sz="2" w:space="0"/>
              <w:right w:val="single" w:color="000000" w:sz="2" w:space="0"/>
            </w:tcBorders>
          </w:tcPr>
          <w:p/>
        </w:tc>
      </w:tr>
    </w:tbl>
    <w:p>
      <w:pPr>
        <w:spacing w:before="9"/>
        <w:rPr>
          <w:rFonts w:ascii="宋体" w:hAnsi="宋体" w:cs="宋体"/>
          <w:b/>
          <w:bCs/>
          <w:sz w:val="6"/>
          <w:szCs w:val="6"/>
        </w:rPr>
      </w:pPr>
    </w:p>
    <w:p>
      <w:pPr>
        <w:rPr>
          <w:rFonts w:ascii="宋体" w:hAnsi="宋体" w:cs="宋体"/>
          <w:sz w:val="28"/>
          <w:szCs w:val="36"/>
        </w:rPr>
      </w:pPr>
      <w:r>
        <w:rPr>
          <w:rFonts w:hint="eastAsia" w:ascii="宋体" w:hAnsi="宋体" w:cs="宋体"/>
          <w:sz w:val="28"/>
          <w:szCs w:val="36"/>
        </w:rPr>
        <w:t xml:space="preserve">备注：本表后应附资格审查所要原件的复印件加盖公章。 </w:t>
      </w:r>
    </w:p>
    <w:p>
      <w:pPr>
        <w:rPr>
          <w:rFonts w:ascii="宋体" w:hAnsi="宋体" w:cs="宋体"/>
          <w:sz w:val="28"/>
          <w:szCs w:val="36"/>
        </w:rPr>
      </w:pPr>
      <w:r>
        <w:rPr>
          <w:rFonts w:hint="eastAsia" w:ascii="宋体" w:hAnsi="宋体" w:cs="宋体"/>
          <w:sz w:val="28"/>
          <w:szCs w:val="36"/>
        </w:rPr>
        <w:t xml:space="preserve">供应商：（盖单位章） </w:t>
      </w:r>
    </w:p>
    <w:p>
      <w:pPr>
        <w:rPr>
          <w:rFonts w:ascii="宋体" w:hAnsi="宋体" w:cs="宋体"/>
          <w:sz w:val="28"/>
          <w:szCs w:val="36"/>
        </w:rPr>
      </w:pPr>
      <w:r>
        <w:rPr>
          <w:rFonts w:hint="eastAsia" w:ascii="宋体" w:hAnsi="宋体" w:cs="宋体"/>
          <w:sz w:val="28"/>
          <w:szCs w:val="36"/>
        </w:rPr>
        <w:t>法定代表人或其委托代理人：(签字或盖章)</w:t>
      </w:r>
    </w:p>
    <w:p>
      <w:pPr>
        <w:rPr>
          <w:rFonts w:ascii="宋体" w:hAnsi="宋体" w:cs="宋体"/>
          <w:sz w:val="28"/>
          <w:szCs w:val="36"/>
        </w:rPr>
      </w:pPr>
      <w:r>
        <w:rPr>
          <w:rFonts w:hint="eastAsia" w:ascii="宋体" w:hAnsi="宋体" w:cs="宋体"/>
          <w:sz w:val="28"/>
          <w:szCs w:val="36"/>
        </w:rPr>
        <w:t>日期：</w:t>
      </w:r>
      <w:r>
        <w:rPr>
          <w:rFonts w:hint="eastAsia" w:ascii="宋体" w:hAnsi="宋体" w:cs="宋体"/>
          <w:sz w:val="28"/>
          <w:szCs w:val="36"/>
        </w:rPr>
        <w:tab/>
      </w:r>
      <w:r>
        <w:rPr>
          <w:rFonts w:hint="eastAsia" w:ascii="宋体" w:hAnsi="宋体" w:cs="宋体"/>
          <w:sz w:val="28"/>
          <w:szCs w:val="36"/>
        </w:rPr>
        <w:t>年</w:t>
      </w:r>
      <w:r>
        <w:rPr>
          <w:rFonts w:hint="eastAsia" w:ascii="宋体" w:hAnsi="宋体" w:cs="宋体"/>
          <w:sz w:val="28"/>
          <w:szCs w:val="36"/>
        </w:rPr>
        <w:tab/>
      </w:r>
      <w:r>
        <w:rPr>
          <w:rFonts w:hint="eastAsia" w:ascii="宋体" w:hAnsi="宋体" w:cs="宋体"/>
          <w:sz w:val="28"/>
          <w:szCs w:val="36"/>
        </w:rPr>
        <w:t>月</w:t>
      </w:r>
      <w:r>
        <w:rPr>
          <w:rFonts w:hint="eastAsia" w:ascii="宋体" w:hAnsi="宋体" w:cs="宋体"/>
          <w:sz w:val="28"/>
          <w:szCs w:val="36"/>
        </w:rPr>
        <w:tab/>
      </w:r>
      <w:r>
        <w:rPr>
          <w:rFonts w:hint="eastAsia" w:ascii="宋体" w:hAnsi="宋体" w:cs="宋体"/>
          <w:sz w:val="28"/>
          <w:szCs w:val="36"/>
        </w:rPr>
        <w:t>日</w:t>
      </w:r>
    </w:p>
    <w:p>
      <w:pPr>
        <w:rPr>
          <w:rFonts w:ascii="宋体" w:hAnsi="宋体" w:cs="宋体"/>
          <w:sz w:val="28"/>
          <w:szCs w:val="36"/>
        </w:rPr>
      </w:pPr>
      <w:r>
        <w:rPr>
          <w:rFonts w:hint="eastAsia" w:ascii="宋体" w:hAnsi="宋体" w:cs="宋体"/>
          <w:sz w:val="28"/>
          <w:szCs w:val="36"/>
        </w:rPr>
        <w:br w:type="page"/>
      </w:r>
    </w:p>
    <w:p>
      <w:pPr>
        <w:spacing w:before="23"/>
        <w:ind w:left="119" w:right="136"/>
        <w:jc w:val="center"/>
        <w:rPr>
          <w:rFonts w:ascii="宋体" w:hAnsi="宋体" w:cs="宋体"/>
          <w:sz w:val="27"/>
          <w:szCs w:val="27"/>
        </w:rPr>
      </w:pPr>
      <w:r>
        <w:rPr>
          <w:rFonts w:ascii="宋体" w:hAnsi="宋体" w:cs="宋体"/>
          <w:b/>
          <w:bCs/>
          <w:spacing w:val="2"/>
          <w:sz w:val="27"/>
          <w:szCs w:val="27"/>
        </w:rPr>
        <w:t>（二）售后服务方案</w:t>
      </w:r>
    </w:p>
    <w:p>
      <w:pPr>
        <w:spacing w:before="1"/>
        <w:rPr>
          <w:rFonts w:ascii="宋体" w:hAnsi="宋体" w:cs="宋体"/>
          <w:b/>
          <w:bCs/>
          <w:sz w:val="23"/>
          <w:szCs w:val="23"/>
        </w:rPr>
      </w:pPr>
    </w:p>
    <w:p>
      <w:r>
        <w:rPr>
          <w:rFonts w:hint="eastAsia"/>
        </w:rPr>
        <w:br w:type="page"/>
      </w:r>
    </w:p>
    <w:p>
      <w:pPr>
        <w:spacing w:before="23"/>
        <w:ind w:left="119" w:right="136"/>
        <w:jc w:val="center"/>
        <w:rPr>
          <w:rFonts w:ascii="宋体" w:hAnsi="宋体" w:cs="宋体"/>
          <w:sz w:val="27"/>
          <w:szCs w:val="27"/>
        </w:rPr>
      </w:pPr>
      <w:r>
        <w:rPr>
          <w:rFonts w:ascii="宋体" w:hAnsi="宋体" w:cs="宋体"/>
          <w:b/>
          <w:bCs/>
          <w:spacing w:val="2"/>
          <w:sz w:val="27"/>
          <w:szCs w:val="27"/>
        </w:rPr>
        <w:t>（三）投标产品简介</w:t>
      </w:r>
    </w:p>
    <w:p>
      <w:pPr>
        <w:spacing w:before="7"/>
        <w:rPr>
          <w:rFonts w:ascii="宋体" w:hAnsi="宋体" w:cs="宋体"/>
          <w:b/>
          <w:bCs/>
          <w:sz w:val="22"/>
          <w:szCs w:val="22"/>
        </w:rPr>
      </w:pPr>
    </w:p>
    <w:p>
      <w:pPr>
        <w:rPr>
          <w:rFonts w:ascii="宋体" w:hAnsi="宋体" w:cs="宋体"/>
          <w:sz w:val="28"/>
          <w:szCs w:val="36"/>
        </w:rPr>
      </w:pPr>
      <w:r>
        <w:rPr>
          <w:rFonts w:hint="eastAsia" w:ascii="宋体" w:hAnsi="宋体" w:cs="宋体"/>
          <w:sz w:val="28"/>
          <w:szCs w:val="36"/>
        </w:rPr>
        <w:br w:type="page"/>
      </w:r>
    </w:p>
    <w:p>
      <w:pPr>
        <w:jc w:val="center"/>
        <w:rPr>
          <w:b/>
          <w:bCs/>
        </w:rPr>
      </w:pPr>
      <w:r>
        <w:rPr>
          <w:rFonts w:hint="eastAsia"/>
          <w:b/>
          <w:bCs/>
        </w:rPr>
        <w:t>八</w:t>
      </w:r>
      <w:r>
        <w:rPr>
          <w:b/>
          <w:bCs/>
        </w:rPr>
        <w:t>、其它资料</w:t>
      </w:r>
    </w:p>
    <w:p>
      <w:pPr>
        <w:spacing w:before="11"/>
        <w:rPr>
          <w:rFonts w:ascii="宋体" w:hAnsi="宋体" w:cs="宋体"/>
          <w:b/>
          <w:bCs/>
          <w:sz w:val="21"/>
          <w:szCs w:val="21"/>
        </w:rPr>
      </w:pPr>
    </w:p>
    <w:p>
      <w:pPr>
        <w:ind w:left="140"/>
        <w:jc w:val="left"/>
        <w:rPr>
          <w:rFonts w:ascii="宋体" w:hAnsi="宋体" w:cs="宋体"/>
          <w:b/>
          <w:bCs/>
        </w:rPr>
      </w:pPr>
      <w:r>
        <w:rPr>
          <w:rFonts w:ascii="宋体" w:hAnsi="宋体" w:cs="宋体"/>
          <w:b/>
          <w:bCs/>
        </w:rPr>
        <w:t>（1）</w:t>
      </w:r>
      <w:r>
        <w:rPr>
          <w:rFonts w:hint="eastAsia" w:ascii="宋体" w:hAnsi="宋体" w:cs="宋体"/>
          <w:b/>
          <w:bCs/>
        </w:rPr>
        <w:t>供应商</w:t>
      </w:r>
      <w:r>
        <w:rPr>
          <w:rFonts w:ascii="宋体" w:hAnsi="宋体" w:cs="宋体"/>
          <w:b/>
          <w:bCs/>
        </w:rPr>
        <w:t>认为需要对</w:t>
      </w:r>
      <w:r>
        <w:rPr>
          <w:rFonts w:hint="eastAsia" w:ascii="宋体" w:hAnsi="宋体" w:cs="宋体"/>
          <w:b/>
          <w:bCs/>
        </w:rPr>
        <w:t>响应</w:t>
      </w:r>
      <w:r>
        <w:rPr>
          <w:rFonts w:ascii="宋体" w:hAnsi="宋体" w:cs="宋体"/>
          <w:b/>
          <w:bCs/>
        </w:rPr>
        <w:t>文件做辅助说明的资料及证明材料</w:t>
      </w:r>
    </w:p>
    <w:p>
      <w:pPr>
        <w:rPr>
          <w:rFonts w:ascii="宋体" w:hAnsi="宋体" w:cs="宋体"/>
        </w:rPr>
      </w:pPr>
    </w:p>
    <w:p>
      <w:pPr>
        <w:spacing w:before="7"/>
        <w:rPr>
          <w:rFonts w:ascii="宋体" w:hAnsi="宋体" w:cs="宋体"/>
          <w:sz w:val="30"/>
          <w:szCs w:val="30"/>
        </w:rPr>
      </w:pPr>
    </w:p>
    <w:p>
      <w:pPr>
        <w:ind w:left="140"/>
        <w:jc w:val="left"/>
        <w:rPr>
          <w:rFonts w:ascii="宋体" w:hAnsi="宋体" w:cs="宋体"/>
          <w:sz w:val="28"/>
          <w:szCs w:val="28"/>
        </w:rPr>
      </w:pPr>
      <w:r>
        <w:rPr>
          <w:rFonts w:ascii="宋体" w:hAnsi="宋体" w:cs="宋体"/>
          <w:b/>
          <w:bCs/>
          <w:sz w:val="27"/>
          <w:szCs w:val="27"/>
        </w:rPr>
        <w:t>（</w:t>
      </w:r>
      <w:r>
        <w:rPr>
          <w:rFonts w:ascii="Cambria" w:hAnsi="Cambria" w:eastAsia="Cambria" w:cs="Cambria"/>
          <w:b/>
          <w:bCs/>
          <w:sz w:val="27"/>
          <w:szCs w:val="27"/>
        </w:rPr>
        <w:t>2</w:t>
      </w:r>
      <w:r>
        <w:rPr>
          <w:rFonts w:ascii="宋体" w:hAnsi="宋体" w:cs="宋体"/>
          <w:b/>
          <w:bCs/>
          <w:sz w:val="27"/>
          <w:szCs w:val="27"/>
        </w:rPr>
        <w:t>）中小企业声明函</w:t>
      </w:r>
      <w:r>
        <w:rPr>
          <w:rFonts w:ascii="宋体" w:hAnsi="宋体" w:cs="宋体"/>
          <w:b/>
          <w:bCs/>
          <w:spacing w:val="3"/>
          <w:sz w:val="27"/>
          <w:szCs w:val="27"/>
        </w:rPr>
        <w:t>（如是请填写）</w:t>
      </w:r>
    </w:p>
    <w:p>
      <w:pPr>
        <w:spacing w:line="360" w:lineRule="auto"/>
        <w:ind w:firstLine="480" w:firstLineChars="200"/>
        <w:rPr>
          <w:rFonts w:ascii="宋体" w:hAnsi="宋体" w:cs="宋体"/>
        </w:rPr>
      </w:pPr>
      <w:r>
        <w:rPr>
          <w:rFonts w:hint="eastAsia" w:ascii="宋体" w:hAnsi="宋体" w:cs="宋体"/>
        </w:rPr>
        <w:t>本公司郑重声明，根据《政府采购促进中小企业发展暂行办法》（财库【2011】181 号） 的规定，本公司为</w:t>
      </w:r>
      <w:r>
        <w:rPr>
          <w:rFonts w:hint="eastAsia" w:ascii="宋体" w:hAnsi="宋体" w:cs="宋体"/>
          <w:u w:val="single"/>
        </w:rPr>
        <w:tab/>
      </w:r>
      <w:r>
        <w:rPr>
          <w:rFonts w:hint="eastAsia" w:ascii="宋体" w:hAnsi="宋体" w:cs="宋体"/>
        </w:rPr>
        <w:t>（请填写：中型、小型、微型）企业。即， 本</w:t>
      </w:r>
    </w:p>
    <w:p>
      <w:pPr>
        <w:spacing w:line="360" w:lineRule="auto"/>
        <w:rPr>
          <w:rFonts w:ascii="宋体" w:hAnsi="宋体" w:cs="宋体"/>
        </w:rPr>
      </w:pPr>
      <w:r>
        <w:rPr>
          <w:rFonts w:hint="eastAsia" w:ascii="宋体" w:hAnsi="宋体" w:cs="宋体"/>
        </w:rPr>
        <w:t>公司同时满足以下条件：</w:t>
      </w:r>
    </w:p>
    <w:p>
      <w:pPr>
        <w:spacing w:line="360" w:lineRule="auto"/>
        <w:ind w:firstLine="488" w:firstLineChars="200"/>
        <w:jc w:val="left"/>
        <w:rPr>
          <w:rFonts w:ascii="宋体" w:hAnsi="宋体" w:cs="宋体"/>
        </w:rPr>
      </w:pPr>
      <w:r>
        <w:rPr>
          <w:rFonts w:hint="eastAsia" w:ascii="宋体" w:hAnsi="宋体" w:cs="宋体"/>
          <w:spacing w:val="-4"/>
          <w:w w:val="105"/>
        </w:rPr>
        <w:t>1.</w:t>
      </w:r>
      <w:r>
        <w:rPr>
          <w:rFonts w:hint="eastAsia" w:ascii="宋体" w:hAnsi="宋体" w:cs="宋体"/>
          <w:w w:val="105"/>
        </w:rPr>
        <w:t>根据《工业和信息化部、国家统计局、国家发展和改革委员会、财政部关于印</w:t>
      </w:r>
      <w:r>
        <w:rPr>
          <w:rFonts w:hint="eastAsia" w:ascii="宋体" w:hAnsi="宋体" w:cs="宋体"/>
          <w:spacing w:val="6"/>
        </w:rPr>
        <w:t xml:space="preserve">发中小企业划型标准规定的通知》（ </w:t>
      </w:r>
      <w:r>
        <w:rPr>
          <w:rFonts w:hint="eastAsia" w:ascii="宋体" w:hAnsi="宋体" w:cs="宋体"/>
          <w:spacing w:val="4"/>
        </w:rPr>
        <w:t>工信部联企业【2011】30</w:t>
      </w:r>
      <w:r>
        <w:rPr>
          <w:rFonts w:hint="eastAsia" w:ascii="宋体" w:hAnsi="宋体" w:cs="宋体"/>
          <w:spacing w:val="11"/>
        </w:rPr>
        <w:t>号）规定的划分标</w:t>
      </w:r>
      <w:r>
        <w:rPr>
          <w:rFonts w:hint="eastAsia" w:ascii="宋体" w:hAnsi="宋体" w:cs="宋体"/>
          <w:spacing w:val="3"/>
          <w:w w:val="105"/>
        </w:rPr>
        <w:t>准，本公司为</w:t>
      </w:r>
      <w:r>
        <w:rPr>
          <w:rFonts w:hint="eastAsia" w:ascii="宋体" w:hAnsi="宋体" w:cs="宋体"/>
          <w:spacing w:val="3"/>
          <w:w w:val="105"/>
          <w:u w:val="single" w:color="000000"/>
        </w:rPr>
        <w:tab/>
      </w:r>
      <w:r>
        <w:rPr>
          <w:rFonts w:hint="eastAsia" w:ascii="宋体" w:hAnsi="宋体" w:cs="宋体"/>
          <w:w w:val="105"/>
        </w:rPr>
        <w:t>（请填写：</w:t>
      </w:r>
      <w:r>
        <w:rPr>
          <w:rFonts w:hint="eastAsia" w:ascii="宋体" w:hAnsi="宋体" w:cs="宋体"/>
          <w:spacing w:val="3"/>
          <w:w w:val="105"/>
        </w:rPr>
        <w:t>中型、小型、微型）企业。</w:t>
      </w:r>
    </w:p>
    <w:p>
      <w:pPr>
        <w:tabs>
          <w:tab w:val="left" w:pos="3657"/>
          <w:tab w:val="left" w:pos="5562"/>
          <w:tab w:val="left" w:pos="7677"/>
        </w:tabs>
        <w:spacing w:before="87" w:line="360" w:lineRule="auto"/>
        <w:ind w:firstLine="464" w:firstLineChars="200"/>
        <w:jc w:val="left"/>
        <w:rPr>
          <w:rFonts w:ascii="宋体" w:hAnsi="宋体" w:cs="宋体"/>
        </w:rPr>
      </w:pPr>
      <w:r>
        <w:rPr>
          <w:rFonts w:hint="eastAsia" w:ascii="宋体" w:hAnsi="宋体" w:cs="宋体"/>
          <w:spacing w:val="-4"/>
        </w:rPr>
        <w:t>2.</w:t>
      </w:r>
      <w:r>
        <w:rPr>
          <w:rFonts w:hint="eastAsia" w:ascii="宋体" w:hAnsi="宋体" w:cs="宋体"/>
          <w:spacing w:val="18"/>
          <w:w w:val="105"/>
        </w:rPr>
        <w:t>本公司</w:t>
      </w:r>
      <w:r>
        <w:rPr>
          <w:rFonts w:hint="eastAsia" w:ascii="宋体" w:hAnsi="宋体" w:cs="宋体"/>
          <w:spacing w:val="-5"/>
          <w:w w:val="105"/>
        </w:rPr>
        <w:t>参加</w:t>
      </w:r>
      <w:r>
        <w:rPr>
          <w:rFonts w:hint="eastAsia" w:ascii="宋体" w:hAnsi="宋体" w:cs="宋体"/>
          <w:spacing w:val="-5"/>
          <w:w w:val="105"/>
          <w:u w:val="single" w:color="000000"/>
        </w:rPr>
        <w:tab/>
      </w:r>
      <w:r>
        <w:rPr>
          <w:rFonts w:hint="eastAsia" w:ascii="宋体" w:hAnsi="宋体" w:cs="宋体"/>
          <w:w w:val="105"/>
        </w:rPr>
        <w:t>单</w:t>
      </w:r>
      <w:r>
        <w:rPr>
          <w:rFonts w:hint="eastAsia" w:ascii="宋体" w:hAnsi="宋体" w:cs="宋体"/>
          <w:w w:val="105"/>
          <w:u w:val="single" w:color="000000"/>
        </w:rPr>
        <w:t>位</w:t>
      </w:r>
      <w:r>
        <w:rPr>
          <w:rFonts w:hint="eastAsia" w:ascii="宋体" w:hAnsi="宋体" w:cs="宋体"/>
          <w:w w:val="105"/>
        </w:rPr>
        <w:t>的</w:t>
      </w:r>
      <w:r>
        <w:rPr>
          <w:rFonts w:hint="eastAsia" w:ascii="宋体" w:hAnsi="宋体" w:cs="宋体"/>
          <w:w w:val="105"/>
          <w:u w:val="single" w:color="000000"/>
        </w:rPr>
        <w:tab/>
      </w:r>
      <w:r>
        <w:rPr>
          <w:rFonts w:hint="eastAsia" w:ascii="宋体" w:hAnsi="宋体" w:cs="宋体"/>
          <w:spacing w:val="14"/>
          <w:w w:val="105"/>
        </w:rPr>
        <w:t>项目采购活</w:t>
      </w:r>
      <w:r>
        <w:rPr>
          <w:rFonts w:hint="eastAsia" w:ascii="宋体" w:hAnsi="宋体" w:cs="宋体"/>
          <w:spacing w:val="26"/>
          <w:w w:val="105"/>
        </w:rPr>
        <w:t>动提供本</w:t>
      </w:r>
      <w:r>
        <w:rPr>
          <w:rFonts w:hint="eastAsia" w:ascii="宋体" w:hAnsi="宋体" w:cs="宋体"/>
          <w:spacing w:val="23"/>
          <w:w w:val="105"/>
        </w:rPr>
        <w:t>企业制</w:t>
      </w:r>
      <w:r>
        <w:rPr>
          <w:rFonts w:hint="eastAsia" w:ascii="宋体" w:hAnsi="宋体" w:cs="宋体"/>
          <w:w w:val="105"/>
        </w:rPr>
        <w:t>造</w:t>
      </w:r>
      <w:r>
        <w:rPr>
          <w:rFonts w:hint="eastAsia" w:ascii="宋体" w:hAnsi="宋体" w:cs="宋体"/>
          <w:spacing w:val="30"/>
          <w:w w:val="105"/>
        </w:rPr>
        <w:t>的货物，由本企业承担工程、提供服务，或者提供其他</w:t>
      </w:r>
      <w:r>
        <w:rPr>
          <w:rFonts w:hint="eastAsia" w:ascii="宋体" w:hAnsi="宋体" w:cs="宋体"/>
          <w:spacing w:val="5"/>
        </w:rPr>
        <w:t>（请填写：</w:t>
      </w:r>
      <w:r>
        <w:rPr>
          <w:rFonts w:hint="eastAsia" w:ascii="宋体" w:hAnsi="宋体" w:cs="宋体"/>
        </w:rPr>
        <w:t>中型、小型、微型）企业制造的货物。本条所称货物不包括使用大</w:t>
      </w:r>
      <w:r>
        <w:rPr>
          <w:rFonts w:hint="eastAsia" w:ascii="宋体" w:hAnsi="宋体" w:cs="宋体"/>
          <w:w w:val="105"/>
        </w:rPr>
        <w:t>型企业注册商标</w:t>
      </w:r>
      <w:r>
        <w:rPr>
          <w:rFonts w:hint="eastAsia" w:ascii="宋体" w:hAnsi="宋体" w:cs="宋体"/>
          <w:spacing w:val="2"/>
          <w:w w:val="105"/>
        </w:rPr>
        <w:t>的货物。</w:t>
      </w:r>
    </w:p>
    <w:p>
      <w:pPr>
        <w:spacing w:line="360" w:lineRule="auto"/>
        <w:ind w:firstLine="774" w:firstLineChars="300"/>
        <w:jc w:val="left"/>
        <w:rPr>
          <w:rFonts w:ascii="宋体" w:hAnsi="宋体" w:cs="宋体"/>
        </w:rPr>
      </w:pPr>
      <w:r>
        <w:rPr>
          <w:rFonts w:hint="eastAsia" w:ascii="宋体" w:hAnsi="宋体" w:cs="宋体"/>
          <w:spacing w:val="9"/>
        </w:rPr>
        <w:t>本公司对上述声明的真实性负责。如有虚假。将依法承担相应责任。</w:t>
      </w:r>
    </w:p>
    <w:p>
      <w:pPr>
        <w:spacing w:line="360" w:lineRule="auto"/>
        <w:rPr>
          <w:rFonts w:ascii="宋体" w:hAnsi="宋体" w:cs="宋体"/>
        </w:rPr>
      </w:pPr>
    </w:p>
    <w:p>
      <w:pPr>
        <w:spacing w:line="360" w:lineRule="auto"/>
        <w:rPr>
          <w:rFonts w:ascii="宋体" w:hAnsi="宋体" w:cs="宋体"/>
        </w:rPr>
      </w:pPr>
    </w:p>
    <w:p>
      <w:pPr>
        <w:spacing w:before="2" w:line="360" w:lineRule="auto"/>
        <w:rPr>
          <w:rFonts w:ascii="宋体" w:hAnsi="宋体" w:cs="宋体"/>
        </w:rPr>
      </w:pPr>
    </w:p>
    <w:p>
      <w:pPr>
        <w:pStyle w:val="27"/>
        <w:spacing w:line="360" w:lineRule="auto"/>
        <w:ind w:firstLine="432"/>
        <w:rPr>
          <w:rFonts w:ascii="宋体" w:hAnsi="宋体" w:cs="宋体"/>
          <w:spacing w:val="-12"/>
          <w:sz w:val="24"/>
          <w:szCs w:val="24"/>
        </w:rPr>
      </w:pPr>
      <w:r>
        <w:rPr>
          <w:rFonts w:hint="eastAsia" w:ascii="宋体" w:hAnsi="宋体" w:cs="宋体"/>
          <w:spacing w:val="-12"/>
          <w:sz w:val="24"/>
          <w:szCs w:val="24"/>
        </w:rPr>
        <w:t>企业名称（盖章）：</w:t>
      </w:r>
    </w:p>
    <w:p>
      <w:pPr>
        <w:pStyle w:val="27"/>
        <w:spacing w:line="360" w:lineRule="auto"/>
        <w:ind w:firstLine="720" w:firstLineChars="300"/>
        <w:rPr>
          <w:rFonts w:ascii="宋体" w:hAns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pacing w:val="8"/>
          <w:sz w:val="24"/>
          <w:szCs w:val="24"/>
        </w:rPr>
        <w:t>期：</w:t>
      </w:r>
    </w:p>
    <w:p>
      <w:r>
        <w:rPr>
          <w:rFonts w:hint="eastAsia"/>
        </w:rPr>
        <w:br w:type="page"/>
      </w:r>
    </w:p>
    <w:p>
      <w:pPr>
        <w:spacing w:before="163"/>
        <w:ind w:left="119"/>
        <w:jc w:val="left"/>
        <w:rPr>
          <w:rFonts w:ascii="宋体" w:hAnsi="宋体" w:cs="宋体"/>
          <w:sz w:val="27"/>
          <w:szCs w:val="27"/>
        </w:rPr>
      </w:pPr>
      <w:r>
        <w:rPr>
          <w:rFonts w:ascii="宋体" w:hAnsi="宋体" w:cs="宋体"/>
          <w:b/>
          <w:bCs/>
          <w:spacing w:val="3"/>
          <w:sz w:val="27"/>
          <w:szCs w:val="27"/>
        </w:rPr>
        <w:t>（</w:t>
      </w:r>
      <w:r>
        <w:rPr>
          <w:rFonts w:ascii="Cambria" w:hAnsi="Cambria" w:eastAsia="Cambria" w:cs="Cambria"/>
          <w:b/>
          <w:bCs/>
          <w:spacing w:val="3"/>
          <w:sz w:val="27"/>
          <w:szCs w:val="27"/>
        </w:rPr>
        <w:t>3</w:t>
      </w:r>
      <w:r>
        <w:rPr>
          <w:rFonts w:ascii="宋体" w:hAnsi="宋体" w:cs="宋体"/>
          <w:b/>
          <w:bCs/>
          <w:spacing w:val="3"/>
          <w:sz w:val="27"/>
          <w:szCs w:val="27"/>
        </w:rPr>
        <w:t>）残疾人福利性单位声明函</w:t>
      </w:r>
    </w:p>
    <w:p>
      <w:pPr>
        <w:ind w:firstLine="560" w:firstLineChars="200"/>
        <w:rPr>
          <w:rFonts w:ascii="宋体" w:hAnsi="宋体" w:cs="宋体"/>
          <w:sz w:val="28"/>
          <w:szCs w:val="28"/>
        </w:rPr>
      </w:pPr>
      <w:r>
        <w:rPr>
          <w:rFonts w:hint="eastAsia" w:ascii="宋体" w:hAnsi="宋体" w:cs="宋体"/>
          <w:sz w:val="28"/>
          <w:szCs w:val="28"/>
        </w:rPr>
        <w:t>本单位郑重声明 ，根据 《财政部民政部中国残疾人联合会关于促进残疾人就业政府采购政策的通知》（财库〔2017〕141号）的规定，本单位为符合条件的残疾人福利性单位，且本单位</w:t>
      </w:r>
    </w:p>
    <w:p>
      <w:pPr>
        <w:rPr>
          <w:rFonts w:ascii="宋体" w:hAnsi="宋体" w:cs="宋体"/>
          <w:sz w:val="28"/>
          <w:szCs w:val="28"/>
        </w:rPr>
      </w:pPr>
      <w:r>
        <w:rPr>
          <w:rFonts w:hint="eastAsia" w:ascii="宋体" w:hAnsi="宋体" w:cs="宋体"/>
          <w:sz w:val="28"/>
          <w:szCs w:val="28"/>
        </w:rPr>
        <w:t>单位的</w:t>
      </w:r>
      <w:r>
        <w:rPr>
          <w:rFonts w:hint="eastAsia" w:ascii="宋体" w:hAnsi="宋体" w:cs="宋体"/>
          <w:sz w:val="28"/>
          <w:szCs w:val="28"/>
          <w:u w:val="single"/>
        </w:rPr>
        <w:tab/>
      </w:r>
      <w:r>
        <w:rPr>
          <w:rFonts w:hint="eastAsia" w:ascii="宋体" w:hAnsi="宋体" w:cs="宋体"/>
          <w:sz w:val="28"/>
          <w:szCs w:val="28"/>
        </w:rPr>
        <w:t>项目采购活动提供本单位制造的货物（由本单位承担工 程/提供服务），或者提供其他残疾人福利性单位制造的货物（不包括使用非残疾人福利性单位注 册商 标的货物 ）。</w:t>
      </w:r>
    </w:p>
    <w:p>
      <w:pPr>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rPr>
          <w:rFonts w:ascii="宋体" w:hAnsi="宋体" w:cs="宋体"/>
          <w:sz w:val="28"/>
          <w:szCs w:val="28"/>
        </w:rPr>
      </w:pPr>
    </w:p>
    <w:p>
      <w:pPr>
        <w:rPr>
          <w:rFonts w:ascii="宋体" w:hAnsi="宋体" w:cs="宋体"/>
          <w:sz w:val="20"/>
          <w:szCs w:val="20"/>
        </w:rPr>
      </w:pPr>
    </w:p>
    <w:p>
      <w:pPr>
        <w:rPr>
          <w:rFonts w:ascii="宋体" w:hAnsi="宋体" w:cs="宋体"/>
          <w:sz w:val="20"/>
          <w:szCs w:val="20"/>
        </w:rPr>
      </w:pPr>
    </w:p>
    <w:p>
      <w:pPr>
        <w:spacing w:before="10"/>
        <w:rPr>
          <w:rFonts w:ascii="宋体" w:hAnsi="宋体" w:cs="宋体"/>
          <w:sz w:val="28"/>
          <w:szCs w:val="28"/>
        </w:rPr>
      </w:pPr>
    </w:p>
    <w:p>
      <w:pPr>
        <w:spacing w:line="446" w:lineRule="auto"/>
        <w:ind w:left="4799" w:right="1969" w:hanging="515"/>
        <w:jc w:val="left"/>
        <w:rPr>
          <w:rFonts w:ascii="宋体" w:hAnsi="宋体" w:cs="宋体"/>
          <w:spacing w:val="-25"/>
          <w:w w:val="105"/>
          <w:sz w:val="20"/>
          <w:szCs w:val="20"/>
        </w:rPr>
      </w:pPr>
      <w:r>
        <w:rPr>
          <w:rFonts w:ascii="宋体" w:hAnsi="宋体" w:cs="宋体"/>
          <w:spacing w:val="14"/>
          <w:w w:val="105"/>
          <w:sz w:val="20"/>
          <w:szCs w:val="20"/>
        </w:rPr>
        <w:t>单位名</w:t>
      </w:r>
      <w:r>
        <w:rPr>
          <w:rFonts w:ascii="宋体" w:hAnsi="宋体" w:cs="宋体"/>
          <w:spacing w:val="7"/>
          <w:w w:val="105"/>
          <w:sz w:val="20"/>
          <w:szCs w:val="20"/>
        </w:rPr>
        <w:t>称（盖章</w:t>
      </w:r>
      <w:r>
        <w:rPr>
          <w:rFonts w:ascii="宋体" w:hAnsi="宋体" w:cs="宋体"/>
          <w:spacing w:val="-25"/>
          <w:w w:val="105"/>
          <w:sz w:val="20"/>
          <w:szCs w:val="20"/>
        </w:rPr>
        <w:t>）：</w:t>
      </w:r>
    </w:p>
    <w:p>
      <w:pPr>
        <w:spacing w:line="446" w:lineRule="auto"/>
        <w:ind w:left="4799" w:right="1969" w:hanging="515"/>
        <w:jc w:val="left"/>
        <w:rPr>
          <w:rFonts w:ascii="宋体" w:hAnsi="宋体" w:cs="宋体"/>
          <w:sz w:val="20"/>
          <w:szCs w:val="20"/>
        </w:rPr>
      </w:pPr>
      <w:r>
        <w:rPr>
          <w:rFonts w:ascii="宋体" w:hAnsi="宋体" w:cs="宋体"/>
          <w:w w:val="105"/>
          <w:sz w:val="20"/>
          <w:szCs w:val="20"/>
        </w:rPr>
        <w:t>日</w:t>
      </w:r>
      <w:r>
        <w:rPr>
          <w:rFonts w:ascii="宋体" w:hAnsi="宋体" w:cs="宋体"/>
          <w:spacing w:val="18"/>
          <w:w w:val="105"/>
          <w:sz w:val="20"/>
          <w:szCs w:val="20"/>
        </w:rPr>
        <w:t>期：</w:t>
      </w:r>
    </w:p>
    <w:p>
      <w:pPr>
        <w:rPr>
          <w:rFonts w:ascii="宋体" w:hAnsi="宋体" w:cs="宋体"/>
          <w:sz w:val="20"/>
          <w:szCs w:val="20"/>
        </w:rPr>
      </w:pPr>
    </w:p>
    <w:p>
      <w:pPr>
        <w:spacing w:before="11"/>
        <w:rPr>
          <w:rFonts w:ascii="宋体" w:hAnsi="宋体" w:cs="宋体"/>
          <w:sz w:val="26"/>
          <w:szCs w:val="26"/>
        </w:rPr>
      </w:pPr>
    </w:p>
    <w:p>
      <w:pPr>
        <w:rPr>
          <w:b/>
          <w:bCs/>
          <w:szCs w:val="32"/>
        </w:rPr>
      </w:pPr>
      <w:r>
        <w:rPr>
          <w:b/>
          <w:bCs/>
          <w:szCs w:val="32"/>
        </w:rPr>
        <w:t>（提醒：如果供应商不是残疾人福利性单位，则不需填写《残疾人福利性单位声明函》。否 则，因 此导致虚假参与的后果由供应商自行承担。）</w:t>
      </w:r>
    </w:p>
    <w:p>
      <w:pPr>
        <w:rPr>
          <w:b/>
          <w:bCs/>
          <w:szCs w:val="32"/>
        </w:rPr>
      </w:pPr>
      <w:r>
        <w:rPr>
          <w:b/>
          <w:bCs/>
          <w:szCs w:val="32"/>
        </w:rPr>
        <w:br w:type="page"/>
      </w:r>
    </w:p>
    <w:p>
      <w:pPr>
        <w:keepNext w:val="0"/>
        <w:keepLines w:val="0"/>
        <w:widowControl/>
        <w:suppressLineNumbers w:val="0"/>
        <w:jc w:val="left"/>
        <w:rPr>
          <w:rFonts w:hint="eastAsia" w:ascii="宋体" w:hAnsi="宋体" w:eastAsia="宋体" w:cs="宋体"/>
        </w:rPr>
      </w:pPr>
      <w:r>
        <w:rPr>
          <w:rFonts w:hint="eastAsia" w:ascii="宋体" w:hAnsi="宋体" w:eastAsia="宋体" w:cs="宋体"/>
          <w:b/>
          <w:bCs/>
          <w:color w:val="000000"/>
          <w:kern w:val="0"/>
          <w:sz w:val="26"/>
          <w:szCs w:val="26"/>
          <w:lang w:val="en-US" w:eastAsia="zh-CN" w:bidi="ar"/>
        </w:rPr>
        <w:t xml:space="preserve">附件： </w:t>
      </w:r>
    </w:p>
    <w:p>
      <w:pPr>
        <w:keepNext w:val="0"/>
        <w:keepLines w:val="0"/>
        <w:widowControl/>
        <w:suppressLineNumbers w:val="0"/>
        <w:jc w:val="center"/>
        <w:rPr>
          <w:rFonts w:hint="eastAsia" w:ascii="宋体" w:hAnsi="宋体" w:eastAsia="宋体" w:cs="宋体"/>
        </w:rPr>
      </w:pPr>
      <w:r>
        <w:rPr>
          <w:rFonts w:hint="eastAsia" w:ascii="宋体" w:hAnsi="宋体" w:eastAsia="宋体" w:cs="宋体"/>
          <w:b/>
          <w:bCs/>
          <w:color w:val="000000"/>
          <w:kern w:val="0"/>
          <w:sz w:val="31"/>
          <w:szCs w:val="31"/>
          <w:lang w:val="en-US" w:eastAsia="zh-CN" w:bidi="ar"/>
        </w:rPr>
        <w:t>河南省政府采购合同融资政策告知函</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6"/>
          <w:szCs w:val="26"/>
          <w:lang w:val="en-US" w:eastAsia="zh-CN" w:bidi="ar"/>
        </w:rPr>
        <w:t xml:space="preserve">各供应商： </w:t>
      </w:r>
    </w:p>
    <w:p>
      <w:pPr>
        <w:keepNext w:val="0"/>
        <w:keepLines w:val="0"/>
        <w:widowControl/>
        <w:suppressLineNumbers w:val="0"/>
        <w:ind w:firstLine="520" w:firstLineChars="200"/>
        <w:jc w:val="left"/>
        <w:rPr>
          <w:rFonts w:hint="eastAsia" w:ascii="宋体" w:hAnsi="宋体" w:eastAsia="宋体" w:cs="宋体"/>
        </w:rPr>
      </w:pPr>
      <w:r>
        <w:rPr>
          <w:rFonts w:hint="eastAsia" w:ascii="宋体" w:hAnsi="宋体" w:eastAsia="宋体" w:cs="宋体"/>
          <w:color w:val="000000"/>
          <w:kern w:val="0"/>
          <w:sz w:val="26"/>
          <w:szCs w:val="26"/>
          <w:lang w:val="en-US" w:eastAsia="zh-CN" w:bidi="ar"/>
        </w:rPr>
        <w:t xml:space="preserve">欢迎贵公司参与河南省政府采购活动！ </w:t>
      </w:r>
    </w:p>
    <w:p>
      <w:pPr>
        <w:keepNext w:val="0"/>
        <w:keepLines w:val="0"/>
        <w:widowControl/>
        <w:suppressLineNumbers w:val="0"/>
        <w:ind w:firstLine="520" w:firstLineChars="200"/>
        <w:jc w:val="left"/>
        <w:rPr>
          <w:rFonts w:hint="eastAsia" w:ascii="宋体" w:hAnsi="宋体" w:eastAsia="宋体" w:cs="宋体"/>
        </w:rPr>
      </w:pPr>
      <w:r>
        <w:rPr>
          <w:rFonts w:hint="eastAsia" w:ascii="宋体" w:hAnsi="宋体" w:eastAsia="宋体" w:cs="宋体"/>
          <w:color w:val="000000"/>
          <w:kern w:val="0"/>
          <w:sz w:val="26"/>
          <w:szCs w:val="26"/>
          <w:lang w:val="en-US" w:eastAsia="zh-CN" w:bidi="ar"/>
        </w:rPr>
        <w:t xml:space="preserve">政府采购合同融资是河南省财政厅支持中小微企业发展，针对参与政府采购活 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 号），按照双方自愿的原则提供便捷、优惠的贷款服务。 贷款渠道和提供贷款的金融机构，可在河南省政府采购网“河南省政府采购合同融资平台”查询联系。 </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7" name="文本框 4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yso7cOgIAAHMEAAAOAAAAAAAAAAEAIAAAAB8BAABkcnMvZTJvRG9j&#10;LnhtbFBLBQYAAAAABgAGAFkBAADLBQAAAAA=&#10;">
              <v:fill on="f" focussize="0,0"/>
              <v:stroke on="f" weight="0.5pt"/>
              <v:imagedata o:title=""/>
              <o:lock v:ext="edit" aspectratio="f"/>
              <v:textbox inset="0mm,0mm,0mm,0mm" style="mso-fit-shape-to-text:t;">
                <w:txbxContent>
                  <w:p>
                    <w:pPr>
                      <w:pStyle w:val="1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912E3"/>
    <w:multiLevelType w:val="singleLevel"/>
    <w:tmpl w:val="882912E3"/>
    <w:lvl w:ilvl="0" w:tentative="0">
      <w:start w:val="18"/>
      <w:numFmt w:val="decimal"/>
      <w:suff w:val="space"/>
      <w:lvlText w:val="%1."/>
      <w:lvlJc w:val="left"/>
    </w:lvl>
  </w:abstractNum>
  <w:abstractNum w:abstractNumId="1">
    <w:nsid w:val="91CADC65"/>
    <w:multiLevelType w:val="singleLevel"/>
    <w:tmpl w:val="91CADC65"/>
    <w:lvl w:ilvl="0" w:tentative="0">
      <w:start w:val="2"/>
      <w:numFmt w:val="chineseCounting"/>
      <w:suff w:val="nothing"/>
      <w:lvlText w:val="%1、"/>
      <w:lvlJc w:val="left"/>
      <w:rPr>
        <w:rFonts w:hint="eastAsia"/>
      </w:rPr>
    </w:lvl>
  </w:abstractNum>
  <w:abstractNum w:abstractNumId="2">
    <w:nsid w:val="A6ECA635"/>
    <w:multiLevelType w:val="singleLevel"/>
    <w:tmpl w:val="A6ECA635"/>
    <w:lvl w:ilvl="0" w:tentative="0">
      <w:start w:val="1"/>
      <w:numFmt w:val="decimal"/>
      <w:suff w:val="nothing"/>
      <w:lvlText w:val="%1、"/>
      <w:lvlJc w:val="left"/>
      <w:pPr>
        <w:ind w:left="120" w:firstLine="0"/>
      </w:pPr>
    </w:lvl>
  </w:abstractNum>
  <w:abstractNum w:abstractNumId="3">
    <w:nsid w:val="DD418776"/>
    <w:multiLevelType w:val="singleLevel"/>
    <w:tmpl w:val="DD418776"/>
    <w:lvl w:ilvl="0" w:tentative="0">
      <w:start w:val="1"/>
      <w:numFmt w:val="chineseCounting"/>
      <w:suff w:val="space"/>
      <w:lvlText w:val="第%1章"/>
      <w:lvlJc w:val="left"/>
      <w:rPr>
        <w:rFonts w:hint="eastAsia"/>
      </w:rPr>
    </w:lvl>
  </w:abstractNum>
  <w:abstractNum w:abstractNumId="4">
    <w:nsid w:val="DFDC303B"/>
    <w:multiLevelType w:val="singleLevel"/>
    <w:tmpl w:val="DFDC303B"/>
    <w:lvl w:ilvl="0" w:tentative="0">
      <w:start w:val="5"/>
      <w:numFmt w:val="chineseCounting"/>
      <w:suff w:val="nothing"/>
      <w:lvlText w:val="%1、"/>
      <w:lvlJc w:val="left"/>
      <w:rPr>
        <w:rFonts w:hint="eastAsia"/>
      </w:rPr>
    </w:lvl>
  </w:abstractNum>
  <w:abstractNum w:abstractNumId="5">
    <w:nsid w:val="F8EA7B76"/>
    <w:multiLevelType w:val="singleLevel"/>
    <w:tmpl w:val="F8EA7B76"/>
    <w:lvl w:ilvl="0" w:tentative="0">
      <w:start w:val="2"/>
      <w:numFmt w:val="decimal"/>
      <w:suff w:val="nothing"/>
      <w:lvlText w:val="%1、"/>
      <w:lvlJc w:val="left"/>
    </w:lvl>
  </w:abstractNum>
  <w:abstractNum w:abstractNumId="6">
    <w:nsid w:val="2DFDE105"/>
    <w:multiLevelType w:val="singleLevel"/>
    <w:tmpl w:val="2DFDE105"/>
    <w:lvl w:ilvl="0" w:tentative="0">
      <w:start w:val="11"/>
      <w:numFmt w:val="chineseCounting"/>
      <w:suff w:val="nothing"/>
      <w:lvlText w:val="%1、"/>
      <w:lvlJc w:val="left"/>
      <w:rPr>
        <w:rFonts w:hint="eastAsia"/>
      </w:rPr>
    </w:lvl>
  </w:abstractNum>
  <w:abstractNum w:abstractNumId="7">
    <w:nsid w:val="3F853941"/>
    <w:multiLevelType w:val="singleLevel"/>
    <w:tmpl w:val="3F853941"/>
    <w:lvl w:ilvl="0" w:tentative="0">
      <w:start w:val="1"/>
      <w:numFmt w:val="chineseCounting"/>
      <w:suff w:val="nothing"/>
      <w:lvlText w:val="（%1）"/>
      <w:lvlJc w:val="left"/>
      <w:rPr>
        <w:rFonts w:hint="eastAsia"/>
      </w:rPr>
    </w:lvl>
  </w:abstractNum>
  <w:abstractNum w:abstractNumId="8">
    <w:nsid w:val="702059E7"/>
    <w:multiLevelType w:val="multilevel"/>
    <w:tmpl w:val="702059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ODUxMTI4ZDY0N2ZiMDhkYTRjNjY0ZWRmNWIzNzUifQ=="/>
  </w:docVars>
  <w:rsids>
    <w:rsidRoot w:val="5F5177FC"/>
    <w:rsid w:val="003E190A"/>
    <w:rsid w:val="00533A1D"/>
    <w:rsid w:val="00762E88"/>
    <w:rsid w:val="00823E3A"/>
    <w:rsid w:val="00BC3CEE"/>
    <w:rsid w:val="00F05D48"/>
    <w:rsid w:val="00FB638D"/>
    <w:rsid w:val="01867A78"/>
    <w:rsid w:val="02214C62"/>
    <w:rsid w:val="026E5C64"/>
    <w:rsid w:val="033402B2"/>
    <w:rsid w:val="038C2E59"/>
    <w:rsid w:val="03E756FA"/>
    <w:rsid w:val="041930B9"/>
    <w:rsid w:val="043D358E"/>
    <w:rsid w:val="04BE2BFB"/>
    <w:rsid w:val="04EA2165"/>
    <w:rsid w:val="05F35E11"/>
    <w:rsid w:val="069D3F17"/>
    <w:rsid w:val="06E10007"/>
    <w:rsid w:val="07F4584C"/>
    <w:rsid w:val="09D05612"/>
    <w:rsid w:val="0BB731BB"/>
    <w:rsid w:val="0CA35A93"/>
    <w:rsid w:val="0EC13FAD"/>
    <w:rsid w:val="0FAF2D4C"/>
    <w:rsid w:val="101B733E"/>
    <w:rsid w:val="107D6A53"/>
    <w:rsid w:val="1189591B"/>
    <w:rsid w:val="12970125"/>
    <w:rsid w:val="13525B1D"/>
    <w:rsid w:val="14233CE6"/>
    <w:rsid w:val="14970297"/>
    <w:rsid w:val="153A6060"/>
    <w:rsid w:val="15AF7257"/>
    <w:rsid w:val="16505E0A"/>
    <w:rsid w:val="1796247C"/>
    <w:rsid w:val="18F40861"/>
    <w:rsid w:val="19072C73"/>
    <w:rsid w:val="1C5D6B0A"/>
    <w:rsid w:val="1CB9658B"/>
    <w:rsid w:val="1D2336BF"/>
    <w:rsid w:val="1D392227"/>
    <w:rsid w:val="1D886D0B"/>
    <w:rsid w:val="1DB5359D"/>
    <w:rsid w:val="1E0A7720"/>
    <w:rsid w:val="1E621F25"/>
    <w:rsid w:val="1EB1080D"/>
    <w:rsid w:val="1EF05319"/>
    <w:rsid w:val="1F120F82"/>
    <w:rsid w:val="1F6040A9"/>
    <w:rsid w:val="2041670D"/>
    <w:rsid w:val="22862EF8"/>
    <w:rsid w:val="243728D6"/>
    <w:rsid w:val="24BD23EA"/>
    <w:rsid w:val="25243083"/>
    <w:rsid w:val="26CF1507"/>
    <w:rsid w:val="26E50DA1"/>
    <w:rsid w:val="280240D9"/>
    <w:rsid w:val="28307F23"/>
    <w:rsid w:val="28460904"/>
    <w:rsid w:val="28AD091C"/>
    <w:rsid w:val="29B9201A"/>
    <w:rsid w:val="2A3171F1"/>
    <w:rsid w:val="2A3971ED"/>
    <w:rsid w:val="2A772F43"/>
    <w:rsid w:val="2AF92F8A"/>
    <w:rsid w:val="2B2C5ED0"/>
    <w:rsid w:val="2D793B25"/>
    <w:rsid w:val="2D8F01C1"/>
    <w:rsid w:val="2F312E44"/>
    <w:rsid w:val="2FBA7F27"/>
    <w:rsid w:val="302902AA"/>
    <w:rsid w:val="305834DA"/>
    <w:rsid w:val="321F27A2"/>
    <w:rsid w:val="326A7C9A"/>
    <w:rsid w:val="328D0623"/>
    <w:rsid w:val="337145AA"/>
    <w:rsid w:val="33E12879"/>
    <w:rsid w:val="34576F68"/>
    <w:rsid w:val="3477405C"/>
    <w:rsid w:val="34795B82"/>
    <w:rsid w:val="38D46E50"/>
    <w:rsid w:val="393D2E6E"/>
    <w:rsid w:val="395A3A81"/>
    <w:rsid w:val="39977740"/>
    <w:rsid w:val="3BD714E9"/>
    <w:rsid w:val="3C5E715D"/>
    <w:rsid w:val="3CB60D47"/>
    <w:rsid w:val="3CD92918"/>
    <w:rsid w:val="3D74336D"/>
    <w:rsid w:val="3E6F38A3"/>
    <w:rsid w:val="3E990920"/>
    <w:rsid w:val="3ED05A64"/>
    <w:rsid w:val="3EFE4046"/>
    <w:rsid w:val="4009393F"/>
    <w:rsid w:val="408D6263"/>
    <w:rsid w:val="410E72FD"/>
    <w:rsid w:val="41172E6B"/>
    <w:rsid w:val="41D777E2"/>
    <w:rsid w:val="43153953"/>
    <w:rsid w:val="435F430B"/>
    <w:rsid w:val="46EC35B7"/>
    <w:rsid w:val="4729155C"/>
    <w:rsid w:val="4732546E"/>
    <w:rsid w:val="49E60720"/>
    <w:rsid w:val="4A4D5923"/>
    <w:rsid w:val="4ADC1279"/>
    <w:rsid w:val="4AFF5FAF"/>
    <w:rsid w:val="4B090BDC"/>
    <w:rsid w:val="4B100F4F"/>
    <w:rsid w:val="4B1D6435"/>
    <w:rsid w:val="4B9321DF"/>
    <w:rsid w:val="4C022466"/>
    <w:rsid w:val="4C7D22C9"/>
    <w:rsid w:val="4C8A5440"/>
    <w:rsid w:val="4CFB2FEC"/>
    <w:rsid w:val="4EB80FDC"/>
    <w:rsid w:val="4EDB14E7"/>
    <w:rsid w:val="50175CDA"/>
    <w:rsid w:val="501E7EEF"/>
    <w:rsid w:val="50675332"/>
    <w:rsid w:val="509D6459"/>
    <w:rsid w:val="50E04116"/>
    <w:rsid w:val="515A4199"/>
    <w:rsid w:val="517373AA"/>
    <w:rsid w:val="520C2DD0"/>
    <w:rsid w:val="52453BF2"/>
    <w:rsid w:val="53BF30E6"/>
    <w:rsid w:val="53FF22E7"/>
    <w:rsid w:val="540053F8"/>
    <w:rsid w:val="54843A71"/>
    <w:rsid w:val="559A4549"/>
    <w:rsid w:val="55CF52F7"/>
    <w:rsid w:val="56345035"/>
    <w:rsid w:val="57136F65"/>
    <w:rsid w:val="578C4726"/>
    <w:rsid w:val="578D531D"/>
    <w:rsid w:val="580075DC"/>
    <w:rsid w:val="58913E13"/>
    <w:rsid w:val="58CD446C"/>
    <w:rsid w:val="58F845A4"/>
    <w:rsid w:val="5AF057B1"/>
    <w:rsid w:val="5B736458"/>
    <w:rsid w:val="5CB3312F"/>
    <w:rsid w:val="5D6E3B22"/>
    <w:rsid w:val="5DBE2F0B"/>
    <w:rsid w:val="5DF27244"/>
    <w:rsid w:val="5E070FAB"/>
    <w:rsid w:val="5E56409F"/>
    <w:rsid w:val="5F5177FC"/>
    <w:rsid w:val="5F562317"/>
    <w:rsid w:val="60310561"/>
    <w:rsid w:val="60C353A1"/>
    <w:rsid w:val="61A3016F"/>
    <w:rsid w:val="63504FE9"/>
    <w:rsid w:val="63F56784"/>
    <w:rsid w:val="64956CA3"/>
    <w:rsid w:val="64B44E16"/>
    <w:rsid w:val="64C472F3"/>
    <w:rsid w:val="65164BED"/>
    <w:rsid w:val="65251877"/>
    <w:rsid w:val="66360681"/>
    <w:rsid w:val="66F37151"/>
    <w:rsid w:val="674C7FCC"/>
    <w:rsid w:val="687407F8"/>
    <w:rsid w:val="68A721B9"/>
    <w:rsid w:val="68CD690B"/>
    <w:rsid w:val="69C62D29"/>
    <w:rsid w:val="6A331EBF"/>
    <w:rsid w:val="6AC13176"/>
    <w:rsid w:val="6AE114CA"/>
    <w:rsid w:val="6B034306"/>
    <w:rsid w:val="6B1B3DA7"/>
    <w:rsid w:val="6BB1554D"/>
    <w:rsid w:val="6C30791F"/>
    <w:rsid w:val="6C9A6154"/>
    <w:rsid w:val="6CD27595"/>
    <w:rsid w:val="6D205BE5"/>
    <w:rsid w:val="6E0A1361"/>
    <w:rsid w:val="6E9948E5"/>
    <w:rsid w:val="6F525DFE"/>
    <w:rsid w:val="6F6B2C9C"/>
    <w:rsid w:val="713A1C1A"/>
    <w:rsid w:val="71CB4824"/>
    <w:rsid w:val="71DE4F69"/>
    <w:rsid w:val="71FC259F"/>
    <w:rsid w:val="72464491"/>
    <w:rsid w:val="72B0539F"/>
    <w:rsid w:val="734A7835"/>
    <w:rsid w:val="740962CB"/>
    <w:rsid w:val="740D46E4"/>
    <w:rsid w:val="74836A59"/>
    <w:rsid w:val="74E120FE"/>
    <w:rsid w:val="77A6657B"/>
    <w:rsid w:val="77EC0DA5"/>
    <w:rsid w:val="78670B6C"/>
    <w:rsid w:val="78CD36A7"/>
    <w:rsid w:val="7AED2637"/>
    <w:rsid w:val="7E2766A8"/>
    <w:rsid w:val="7E3466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unhideWhenUsed/>
    <w:qFormat/>
    <w:uiPriority w:val="0"/>
    <w:pPr>
      <w:keepNext/>
      <w:keepLines/>
      <w:spacing w:line="413" w:lineRule="auto"/>
      <w:outlineLvl w:val="1"/>
    </w:pPr>
    <w:rPr>
      <w:rFonts w:ascii="Arial" w:hAnsi="Arial"/>
      <w:b/>
    </w:rPr>
  </w:style>
  <w:style w:type="paragraph" w:styleId="4">
    <w:name w:val="heading 3"/>
    <w:basedOn w:val="1"/>
    <w:next w:val="1"/>
    <w:link w:val="41"/>
    <w:unhideWhenUsed/>
    <w:qFormat/>
    <w:uiPriority w:val="0"/>
    <w:pPr>
      <w:keepNext/>
      <w:keepLines/>
      <w:spacing w:line="413" w:lineRule="auto"/>
      <w:outlineLvl w:val="2"/>
    </w:pPr>
    <w:rPr>
      <w:b/>
      <w:sz w:val="28"/>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qFormat/>
    <w:uiPriority w:val="1"/>
    <w:pPr>
      <w:ind w:left="139"/>
      <w:outlineLvl w:val="4"/>
    </w:pPr>
    <w:rPr>
      <w:rFonts w:ascii="宋体" w:hAnsi="宋体"/>
      <w:b/>
      <w:bCs/>
      <w:sz w:val="27"/>
      <w:szCs w:val="27"/>
    </w:rPr>
  </w:style>
  <w:style w:type="paragraph" w:styleId="7">
    <w:name w:val="heading 6"/>
    <w:basedOn w:val="1"/>
    <w:next w:val="1"/>
    <w:qFormat/>
    <w:uiPriority w:val="1"/>
    <w:pPr>
      <w:spacing w:before="18"/>
      <w:ind w:left="1383"/>
      <w:outlineLvl w:val="5"/>
    </w:pPr>
    <w:rPr>
      <w:rFonts w:ascii="宋体" w:hAnsi="宋体"/>
      <w:sz w:val="27"/>
      <w:szCs w:val="27"/>
    </w:rPr>
  </w:style>
  <w:style w:type="paragraph" w:styleId="8">
    <w:name w:val="heading 7"/>
    <w:basedOn w:val="1"/>
    <w:next w:val="1"/>
    <w:qFormat/>
    <w:uiPriority w:val="1"/>
    <w:pPr>
      <w:ind w:left="113"/>
      <w:outlineLvl w:val="6"/>
    </w:pPr>
    <w:rPr>
      <w:rFonts w:ascii="宋体" w:hAnsi="宋体"/>
      <w:b/>
      <w:bCs/>
      <w:sz w:val="23"/>
      <w:szCs w:val="23"/>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pPr>
    <w:rPr>
      <w:rFonts w:ascii="Times New Roman"/>
      <w:sz w:val="21"/>
    </w:rPr>
  </w:style>
  <w:style w:type="paragraph" w:styleId="10">
    <w:name w:val="annotation text"/>
    <w:basedOn w:val="1"/>
    <w:qFormat/>
    <w:uiPriority w:val="0"/>
    <w:pPr>
      <w:jc w:val="left"/>
    </w:pPr>
  </w:style>
  <w:style w:type="paragraph" w:styleId="11">
    <w:name w:val="Body Text"/>
    <w:basedOn w:val="1"/>
    <w:next w:val="12"/>
    <w:qFormat/>
    <w:uiPriority w:val="1"/>
    <w:pPr>
      <w:ind w:left="113"/>
    </w:pPr>
    <w:rPr>
      <w:rFonts w:ascii="宋体" w:hAnsi="宋体"/>
      <w:sz w:val="23"/>
      <w:szCs w:val="23"/>
    </w:rPr>
  </w:style>
  <w:style w:type="paragraph" w:styleId="12">
    <w:name w:val="Body Text 2"/>
    <w:basedOn w:val="1"/>
    <w:link w:val="50"/>
    <w:qFormat/>
    <w:uiPriority w:val="0"/>
    <w:pPr>
      <w:spacing w:after="120" w:line="480" w:lineRule="auto"/>
    </w:pPr>
  </w:style>
  <w:style w:type="paragraph" w:styleId="13">
    <w:name w:val="Body Text Indent"/>
    <w:basedOn w:val="1"/>
    <w:next w:val="14"/>
    <w:qFormat/>
    <w:uiPriority w:val="0"/>
    <w:pPr>
      <w:ind w:firstLine="630"/>
    </w:pPr>
    <w:rPr>
      <w:sz w:val="32"/>
      <w:szCs w:val="20"/>
    </w:rPr>
  </w:style>
  <w:style w:type="paragraph" w:styleId="14">
    <w:name w:val="envelope return"/>
    <w:basedOn w:val="1"/>
    <w:qFormat/>
    <w:uiPriority w:val="99"/>
    <w:pPr>
      <w:snapToGrid w:val="0"/>
    </w:pPr>
    <w:rPr>
      <w:rFonts w:ascii="Arial" w:hAnsi="Arial"/>
    </w:rPr>
  </w:style>
  <w:style w:type="paragraph" w:styleId="15">
    <w:name w:val="toc 3"/>
    <w:basedOn w:val="1"/>
    <w:next w:val="1"/>
    <w:qFormat/>
    <w:uiPriority w:val="0"/>
    <w:pPr>
      <w:ind w:left="840" w:leftChars="400"/>
    </w:pPr>
  </w:style>
  <w:style w:type="paragraph" w:styleId="16">
    <w:name w:val="Plain Text"/>
    <w:basedOn w:val="1"/>
    <w:next w:val="1"/>
    <w:qFormat/>
    <w:uiPriority w:val="99"/>
    <w:rPr>
      <w:rFonts w:ascii="宋体" w:hAnsi="Courier New"/>
      <w:szCs w:val="21"/>
    </w:rPr>
  </w:style>
  <w:style w:type="paragraph" w:styleId="17">
    <w:name w:val="Body Text Indent 2"/>
    <w:basedOn w:val="1"/>
    <w:semiHidden/>
    <w:qFormat/>
    <w:uiPriority w:val="0"/>
    <w:pPr>
      <w:spacing w:line="480" w:lineRule="auto"/>
      <w:ind w:left="420" w:leftChars="200"/>
    </w:pPr>
  </w:style>
  <w:style w:type="paragraph" w:styleId="18">
    <w:name w:val="Balloon Text"/>
    <w:basedOn w:val="1"/>
    <w:link w:val="49"/>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able of figures"/>
    <w:basedOn w:val="1"/>
    <w:next w:val="1"/>
    <w:qFormat/>
    <w:uiPriority w:val="0"/>
    <w:pPr>
      <w:ind w:left="200" w:leftChars="200" w:hanging="200" w:hangingChars="200"/>
    </w:pPr>
  </w:style>
  <w:style w:type="paragraph" w:styleId="24">
    <w:name w:val="toc 2"/>
    <w:basedOn w:val="1"/>
    <w:next w:val="1"/>
    <w:qFormat/>
    <w:uiPriority w:val="0"/>
    <w:pPr>
      <w:ind w:left="420" w:leftChars="200"/>
    </w:pPr>
  </w:style>
  <w:style w:type="paragraph" w:styleId="2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26">
    <w:name w:val="Normal (Web)"/>
    <w:basedOn w:val="1"/>
    <w:qFormat/>
    <w:uiPriority w:val="0"/>
    <w:pPr>
      <w:jc w:val="left"/>
    </w:pPr>
    <w:rPr>
      <w:rFonts w:cs="Times New Roman"/>
      <w:kern w:val="0"/>
    </w:rPr>
  </w:style>
  <w:style w:type="paragraph" w:styleId="27">
    <w:name w:val="Body Text First Indent 2"/>
    <w:basedOn w:val="13"/>
    <w:next w:val="1"/>
    <w:qFormat/>
    <w:uiPriority w:val="0"/>
    <w:pPr>
      <w:ind w:firstLine="420" w:firstLineChars="200"/>
    </w:pPr>
  </w:style>
  <w:style w:type="table" w:styleId="29">
    <w:name w:val="Table Grid"/>
    <w:basedOn w:val="2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rPr>
  </w:style>
  <w:style w:type="character" w:styleId="32">
    <w:name w:val="FollowedHyperlink"/>
    <w:basedOn w:val="30"/>
    <w:qFormat/>
    <w:uiPriority w:val="0"/>
    <w:rPr>
      <w:color w:val="333333"/>
      <w:u w:val="none"/>
    </w:rPr>
  </w:style>
  <w:style w:type="character" w:styleId="33">
    <w:name w:val="Emphasis"/>
    <w:basedOn w:val="30"/>
    <w:qFormat/>
    <w:uiPriority w:val="0"/>
  </w:style>
  <w:style w:type="character" w:styleId="34">
    <w:name w:val="HTML Definition"/>
    <w:basedOn w:val="30"/>
    <w:qFormat/>
    <w:uiPriority w:val="0"/>
  </w:style>
  <w:style w:type="character" w:styleId="35">
    <w:name w:val="HTML Variable"/>
    <w:basedOn w:val="30"/>
    <w:qFormat/>
    <w:uiPriority w:val="0"/>
  </w:style>
  <w:style w:type="character" w:styleId="36">
    <w:name w:val="Hyperlink"/>
    <w:basedOn w:val="30"/>
    <w:qFormat/>
    <w:uiPriority w:val="0"/>
    <w:rPr>
      <w:color w:val="333333"/>
      <w:u w:val="none"/>
    </w:rPr>
  </w:style>
  <w:style w:type="character" w:styleId="37">
    <w:name w:val="HTML Code"/>
    <w:basedOn w:val="30"/>
    <w:qFormat/>
    <w:uiPriority w:val="0"/>
    <w:rPr>
      <w:rFonts w:ascii="Courier New" w:hAnsi="Courier New"/>
      <w:sz w:val="20"/>
    </w:rPr>
  </w:style>
  <w:style w:type="character" w:styleId="38">
    <w:name w:val="HTML Cite"/>
    <w:basedOn w:val="30"/>
    <w:qFormat/>
    <w:uiPriority w:val="0"/>
  </w:style>
  <w:style w:type="paragraph" w:customStyle="1" w:styleId="39">
    <w:name w:val="Default"/>
    <w:next w:val="40"/>
    <w:qFormat/>
    <w:uiPriority w:val="0"/>
    <w:pPr>
      <w:widowControl w:val="0"/>
      <w:autoSpaceDE w:val="0"/>
      <w:autoSpaceDN w:val="0"/>
      <w:adjustRightInd w:val="0"/>
    </w:pPr>
    <w:rPr>
      <w:rFonts w:ascii="宋体" w:hAnsi="宋体" w:eastAsia="宋体" w:cs="宋体"/>
      <w:color w:val="000000"/>
      <w:sz w:val="24"/>
      <w:szCs w:val="24"/>
      <w:lang w:val="en-US" w:eastAsia="en-US" w:bidi="ar-SA"/>
    </w:rPr>
  </w:style>
  <w:style w:type="paragraph" w:customStyle="1" w:styleId="40">
    <w:name w:val="大标题"/>
    <w:basedOn w:val="1"/>
    <w:next w:val="27"/>
    <w:qFormat/>
    <w:uiPriority w:val="0"/>
    <w:pPr>
      <w:jc w:val="center"/>
    </w:pPr>
    <w:rPr>
      <w:rFonts w:ascii="Arial" w:hAnsi="Arial"/>
      <w:b/>
      <w:sz w:val="28"/>
    </w:rPr>
  </w:style>
  <w:style w:type="character" w:customStyle="1" w:styleId="41">
    <w:name w:val="标题 3 Char"/>
    <w:link w:val="4"/>
    <w:qFormat/>
    <w:uiPriority w:val="0"/>
    <w:rPr>
      <w:rFonts w:eastAsia="宋体" w:asciiTheme="minorHAnsi" w:hAnsiTheme="minorHAnsi"/>
      <w:b/>
      <w:sz w:val="28"/>
    </w:rPr>
  </w:style>
  <w:style w:type="paragraph" w:customStyle="1" w:styleId="42">
    <w:name w:val="Table Paragraph"/>
    <w:basedOn w:val="1"/>
    <w:qFormat/>
    <w:uiPriority w:val="1"/>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4">
    <w:name w:val="List Paragraph"/>
    <w:basedOn w:val="1"/>
    <w:qFormat/>
    <w:uiPriority w:val="0"/>
    <w:pPr>
      <w:ind w:firstLine="420" w:firstLineChars="200"/>
    </w:pPr>
  </w:style>
  <w:style w:type="paragraph" w:styleId="4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列出段落11"/>
    <w:basedOn w:val="1"/>
    <w:qFormat/>
    <w:uiPriority w:val="34"/>
    <w:pPr>
      <w:ind w:firstLine="420" w:firstLineChars="200"/>
    </w:pPr>
    <w:rPr>
      <w:rFonts w:ascii="Calibri" w:hAnsi="Calibri" w:cs="Calibri"/>
      <w:szCs w:val="21"/>
    </w:rPr>
  </w:style>
  <w:style w:type="paragraph" w:customStyle="1" w:styleId="47">
    <w:name w:val="列出段落4"/>
    <w:basedOn w:val="1"/>
    <w:qFormat/>
    <w:uiPriority w:val="0"/>
    <w:pPr>
      <w:ind w:firstLine="420" w:firstLineChars="200"/>
    </w:pPr>
    <w:rPr>
      <w:rFonts w:ascii="Calibri" w:hAnsi="Calibri" w:cs="Calibri"/>
      <w:szCs w:val="21"/>
    </w:rPr>
  </w:style>
  <w:style w:type="character" w:customStyle="1" w:styleId="48">
    <w:name w:val="页眉 Char"/>
    <w:basedOn w:val="30"/>
    <w:link w:val="20"/>
    <w:qFormat/>
    <w:uiPriority w:val="0"/>
    <w:rPr>
      <w:rFonts w:eastAsia="宋体"/>
      <w:kern w:val="2"/>
      <w:sz w:val="18"/>
      <w:szCs w:val="18"/>
    </w:rPr>
  </w:style>
  <w:style w:type="character" w:customStyle="1" w:styleId="49">
    <w:name w:val="批注框文本 Char"/>
    <w:basedOn w:val="30"/>
    <w:link w:val="18"/>
    <w:qFormat/>
    <w:uiPriority w:val="0"/>
    <w:rPr>
      <w:rFonts w:eastAsia="宋体"/>
      <w:kern w:val="2"/>
      <w:sz w:val="18"/>
      <w:szCs w:val="18"/>
    </w:rPr>
  </w:style>
  <w:style w:type="character" w:customStyle="1" w:styleId="50">
    <w:name w:val="正文文本 2 Char"/>
    <w:basedOn w:val="30"/>
    <w:link w:val="12"/>
    <w:qFormat/>
    <w:uiPriority w:val="0"/>
    <w:rPr>
      <w:rFonts w:eastAsia="宋体"/>
      <w:kern w:val="2"/>
      <w:sz w:val="24"/>
      <w:szCs w:val="24"/>
    </w:rPr>
  </w:style>
  <w:style w:type="character" w:customStyle="1" w:styleId="51">
    <w:name w:val="sp"/>
    <w:basedOn w:val="30"/>
    <w:qFormat/>
    <w:uiPriority w:val="0"/>
    <w:rPr>
      <w:b/>
      <w:bCs/>
    </w:rPr>
  </w:style>
  <w:style w:type="character" w:customStyle="1" w:styleId="52">
    <w:name w:val="sp1"/>
    <w:basedOn w:val="30"/>
    <w:qFormat/>
    <w:uiPriority w:val="0"/>
    <w:rPr>
      <w:b/>
      <w:bCs/>
    </w:rPr>
  </w:style>
  <w:style w:type="character" w:customStyle="1" w:styleId="53">
    <w:name w:val="before"/>
    <w:basedOn w:val="30"/>
    <w:qFormat/>
    <w:uiPriority w:val="0"/>
    <w:rPr>
      <w:shd w:val="clear" w:fill="DEDEDE"/>
    </w:rPr>
  </w:style>
  <w:style w:type="character" w:customStyle="1" w:styleId="54">
    <w:name w:val="hover23"/>
    <w:basedOn w:val="30"/>
    <w:qFormat/>
    <w:uiPriority w:val="0"/>
    <w:rPr>
      <w:color w:val="FFFFFF"/>
    </w:rPr>
  </w:style>
  <w:style w:type="character" w:customStyle="1" w:styleId="55">
    <w:name w:val="hover24"/>
    <w:basedOn w:val="30"/>
    <w:qFormat/>
    <w:uiPriority w:val="0"/>
    <w:rPr>
      <w:color w:val="5FB878"/>
    </w:rPr>
  </w:style>
  <w:style w:type="character" w:customStyle="1" w:styleId="56">
    <w:name w:val="hover25"/>
    <w:basedOn w:val="30"/>
    <w:qFormat/>
    <w:uiPriority w:val="0"/>
    <w:rPr>
      <w:color w:val="5FB878"/>
    </w:rPr>
  </w:style>
  <w:style w:type="character" w:customStyle="1" w:styleId="57">
    <w:name w:val="first-child"/>
    <w:basedOn w:val="30"/>
    <w:qFormat/>
    <w:uiPriority w:val="0"/>
  </w:style>
  <w:style w:type="character" w:customStyle="1" w:styleId="58">
    <w:name w:val="mail-contents"/>
    <w:basedOn w:val="30"/>
    <w:qFormat/>
    <w:uiPriority w:val="0"/>
  </w:style>
  <w:style w:type="character" w:customStyle="1" w:styleId="59">
    <w:name w:val="layui-this2"/>
    <w:basedOn w:val="30"/>
    <w:qFormat/>
    <w:uiPriority w:val="0"/>
    <w:rPr>
      <w:bdr w:val="single" w:color="EEEEEE" w:sz="6" w:space="0"/>
      <w:shd w:val="clear" w:fill="FFFFFF"/>
    </w:rPr>
  </w:style>
  <w:style w:type="character" w:customStyle="1" w:styleId="60">
    <w:name w:val="before1"/>
    <w:basedOn w:val="30"/>
    <w:qFormat/>
    <w:uiPriority w:val="0"/>
    <w:rPr>
      <w:shd w:val="clear" w:fill="DEDEDE"/>
    </w:rPr>
  </w:style>
  <w:style w:type="character" w:customStyle="1" w:styleId="61">
    <w:name w:val="layui-this"/>
    <w:basedOn w:val="30"/>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45756</Words>
  <Characters>49764</Characters>
  <Lines>273</Lines>
  <Paragraphs>77</Paragraphs>
  <TotalTime>20</TotalTime>
  <ScaleCrop>false</ScaleCrop>
  <LinksUpToDate>false</LinksUpToDate>
  <CharactersWithSpaces>50533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2020-08-04T08:43:00Z</dcterms:created>
  <dc:creator>Administrator</dc:creator>
  <cp:lastModifiedBy>河南平业建设工程技术咨询有限公司:河南平业建设工程技术咨询有限公司</cp:lastModifiedBy>
  <cp:lastPrinted>2021-06-15T00:08:00Z</cp:lastPrinted>
  <dcterms:modified xsi:type="dcterms:W3CDTF">2022-10-25T08:22:56Z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042D5000DBCE4464913CA47041EEAC21</vt:lpwstr>
  </property>
</Properties>
</file>