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隶书" w:hAnsi="隶书" w:eastAsia="隶书" w:cs="隶书"/>
          <w:b/>
          <w:bCs/>
          <w:color w:val="FF0000"/>
          <w:sz w:val="84"/>
          <w:szCs w:val="84"/>
          <w:lang w:eastAsia="zh-CN"/>
        </w:rPr>
        <w:t>简</w:t>
      </w:r>
      <w:r>
        <w:rPr>
          <w:rFonts w:hint="eastAsia" w:ascii="隶书" w:hAnsi="隶书" w:eastAsia="隶书" w:cs="隶书"/>
          <w:b/>
          <w:bCs/>
          <w:color w:val="FF0000"/>
          <w:sz w:val="84"/>
          <w:szCs w:val="84"/>
          <w:lang w:val="en-US" w:eastAsia="zh-CN"/>
        </w:rPr>
        <w:t xml:space="preserve">    </w:t>
      </w:r>
      <w:r>
        <w:rPr>
          <w:rFonts w:hint="eastAsia" w:ascii="隶书" w:hAnsi="隶书" w:eastAsia="隶书" w:cs="隶书"/>
          <w:b/>
          <w:bCs/>
          <w:color w:val="FF0000"/>
          <w:sz w:val="84"/>
          <w:szCs w:val="84"/>
          <w:lang w:eastAsia="zh-CN"/>
        </w:rPr>
        <w:t>报</w:t>
      </w:r>
    </w:p>
    <w:p>
      <w:pPr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vertAlign w:val="baseline"/>
          <w:lang w:val="en-US" w:eastAsia="zh-CN" w:bidi="ar-SA"/>
        </w:rPr>
        <w:t>（第四期）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vertAlign w:val="baseline"/>
          <w:lang w:val="en-US"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vertAlign w:val="baseline"/>
          <w:lang w:val="en-US" w:eastAsia="zh-CN" w:bidi="ar-SA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340360</wp:posOffset>
                </wp:positionV>
                <wp:extent cx="5288280" cy="152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07415" y="1900555"/>
                          <a:ext cx="528828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55pt;margin-top:26.8pt;height:1.2pt;width:416.4pt;z-index:251658240;mso-width-relative:page;mso-height-relative:page;" filled="f" stroked="t" coordsize="21600,21600" o:gfxdata="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4EqLtgAAAAIAQAA&#10;DwAAAAAAAAABACAAAAAiAAAAZHJzL2Rvd25yZXYueG1sUEsBAhQAFAAAAAgAh07iQMVKKsXgAQAA&#10;fQMAAA4AAAAAAAAAAQAgAAAAJwEAAGRycy9lMm9Eb2MueG1sUEsFBgAAAAAGAAYAWQEAAHkFAAAA&#10;AA=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vertAlign w:val="baseline"/>
          <w:lang w:val="en-US" w:eastAsia="zh-CN" w:bidi="ar-SA"/>
        </w:rPr>
        <w:t>睢县胡堂乡平安建设办公室             2023年8月30日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vertAlign w:val="baseline"/>
          <w:lang w:val="en-US"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vertAlign w:val="baseline"/>
          <w:lang w:val="en-US" w:eastAsia="zh-CN" w:bidi="ar-SA"/>
        </w:rPr>
        <w:drawing>
          <wp:inline distT="0" distB="0" distL="114300" distR="114300">
            <wp:extent cx="5265420" cy="3950335"/>
            <wp:effectExtent l="0" t="0" r="7620" b="12065"/>
            <wp:docPr id="3" name="图片 3" descr="微信图片_2023112516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1251632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   为切实维护的社会稳定，胡堂乡司法所各村积极进行矛盾纠纷排查化解，切实预防“民转刑”案件发生。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一是提高认识，加强领导。成立矛盾排查调解工作领导小组，制定矛盾纠纷排查调解方案，提高各村对矛盾纠纷排查调解工作重要性的认识，为建设平安胡堂打好基础。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drawing>
          <wp:inline distT="0" distB="0" distL="114300" distR="114300">
            <wp:extent cx="5272405" cy="3960495"/>
            <wp:effectExtent l="0" t="0" r="635" b="1905"/>
            <wp:docPr id="5" name="图片 5" descr="微信图片_2023112710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1271020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  二是强化普法，前移关口。通过村广播、微信群、悬挂条幅等方式，向群众宣传普及法律法规知识，引导群众增强法律意识和法制观念，依法合理表达利益诉求。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drawing>
          <wp:inline distT="0" distB="0" distL="114300" distR="114300">
            <wp:extent cx="5272405" cy="3960495"/>
            <wp:effectExtent l="0" t="0" r="635" b="1905"/>
            <wp:docPr id="6" name="图片 6" descr="微信图片_2023112710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11271020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   三是把握重点，动态管理。紧紧盯住影响社会稳定的热点难点问题，紧紧盯住重点部位、重点领域、重点人群，详细掌握重点对象的家庭情况、利益诉求、近期动向等信息，实行责任包保、动态管理和“零报告”制度，切实做到早发现、早介入、早处置，有效掌控维稳形势，有效稳控重点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   四是应急值守，畅通渠道。严格落实24小时值班和领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导带班制度，遇有紧急突发事件，立即报告并妥善处置，及时做好上传下达工作，做到“有事报情况，无事报平安”。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五是夯实责任，强化督导。进一步完善各村矛盾纠纷排查化解工作体系，层层分解任务，层层强化责任，层层抓好落实。对排查出的矛盾纠纷台账化管理，按照“谁主管、谁负责”的原则和职责分工,落实专人负责及时调解。同时综治维稳中心协调派出所、司法所等单位不定期深入各村督导矛盾纠纷排查及化解情况，严格做到“排查不漏一人、化解不漏一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JQY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A5BC6"/>
    <w:rsid w:val="122A5BC6"/>
    <w:rsid w:val="77D654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THUV2-32HH7-6NMHN-PTX7Y-QQCTH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2023-11-25T08:39:00Z</dcterms:created>
  <dc:creator>Administrator</dc:creator>
  <cp:lastModifiedBy>Administrator</cp:lastModifiedBy>
  <cp:lastPrinted>2023-11-27T02:24:02Z</cp:lastPrinted>
  <dcterms:modified xsi:type="dcterms:W3CDTF">2023-11-27T02:24:16Z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