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睢政土</w:t>
      </w:r>
      <w:r>
        <w:rPr>
          <w:rFonts w:hint="eastAsia" w:ascii="仿宋_GB2312" w:hAnsi="宋体" w:eastAsia="仿宋_GB2312" w:cs="宋体"/>
          <w:sz w:val="32"/>
          <w:szCs w:val="32"/>
        </w:rPr>
        <w:t>〔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睢县人民政府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关于公布睢县202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年度国有建设用地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供应计划的通知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napToGrid/>
          <w:w w:val="9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w w:val="94"/>
          <w:kern w:val="2"/>
          <w:sz w:val="32"/>
          <w:szCs w:val="32"/>
          <w:lang w:val="en-US" w:eastAsia="zh-CN" w:bidi="ar-SA"/>
        </w:rPr>
        <w:t>各乡镇人民政府，街道办事处，五河湾示范中心，县政府有关部门：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《睢县202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年度国有建设用地供应计划》已经县政府研究同意，现印发给你们，请认真遵照执行。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6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6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6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60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 w:ascii="仿宋_GB2312" w:hAnsi="宋体" w:eastAsia="仿宋_GB2312" w:cs="宋体"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睢县202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年度国有建设用地供应计划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为科学调控土地市场，</w:t>
      </w:r>
      <w:r>
        <w:rPr>
          <w:rFonts w:hint="eastAsia" w:ascii="仿宋_GB2312" w:eastAsia="仿宋_GB2312"/>
          <w:sz w:val="32"/>
          <w:szCs w:val="32"/>
        </w:rPr>
        <w:t>提升自然资源保障能力和土地资源利用水平，规范全县土地市场秩序，根据</w:t>
      </w:r>
      <w:r>
        <w:rPr>
          <w:rFonts w:hint="eastAsia" w:ascii="仿宋_GB2312" w:hAnsi="宋体" w:eastAsia="仿宋_GB2312" w:cs="宋体"/>
          <w:sz w:val="32"/>
          <w:szCs w:val="32"/>
        </w:rPr>
        <w:t>《国土资源部关于印发国有建设用地供应计划编制规范（试行）的通知》（国土资发〔2010〕1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17号）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要求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，结合睢县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实际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，参考上年度供地情况和本年度用地需求，制定本计划。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以习近平新时代中国特色社会主义思想为指导，落实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省委、省政府关于推进县域经济高质量发展的决策部署</w:t>
      </w:r>
      <w:r>
        <w:rPr>
          <w:rFonts w:hint="eastAsia" w:ascii="仿宋_GB2312" w:eastAsia="仿宋_GB2312"/>
          <w:color w:val="000000"/>
          <w:sz w:val="32"/>
          <w:szCs w:val="32"/>
        </w:rPr>
        <w:t>，切实解决土地粗放利用和浪费问题，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助推</w:t>
      </w:r>
      <w:r>
        <w:rPr>
          <w:rFonts w:hint="eastAsia" w:ascii="仿宋_GB2312" w:eastAsia="仿宋_GB2312"/>
          <w:color w:val="000000"/>
          <w:sz w:val="32"/>
          <w:szCs w:val="32"/>
        </w:rPr>
        <w:t>我县经济社会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高质量</w:t>
      </w:r>
      <w:r>
        <w:rPr>
          <w:rFonts w:hint="eastAsia" w:ascii="仿宋_GB2312" w:eastAsia="仿宋_GB2312"/>
          <w:color w:val="000000"/>
          <w:sz w:val="32"/>
          <w:szCs w:val="32"/>
        </w:rPr>
        <w:t>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二、计划指标及配置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2023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年度睢县国有建设用地拟供应总量控制在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541.9494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公顷。其中，商服用地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39.2936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公顷，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居住用地92.4959公顷，工矿仓储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用地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54.3756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公顷，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公园绿地用地50.8163公顷，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公共管理与公共服务用地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34.8917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公顷，交通运输用地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256.0786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公顷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教育科研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用地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12.7729公顷，医疗卫生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用地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1.2248公顷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三、政策导向与执行标准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（一）坚持计划控制引导，统一有序、规范供应。本年度各类建设项目用地供应，按照《睢县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2023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年度国有建设用地供应计划表》（附件1）确定的控制指标实施。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（二）认真落实房地产用地调控政策，重点保障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民生用地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和城市住宅用地项目。未列入计划指标的，除执行中经县政府批准调整外，原则上年度内不予供地。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（三）充分保障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民生项目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主导产业用地需求。工矿仓储用地、公共管理与公共服务用地、交通运输用地均实行指导性计划控制，根据年度用地需求保障供应，不确定具体指标。乡镇建设项目用地计划指标按照实际需要机动安排。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四）严格执行土地供应程序。对工业、商业、旅游、娱乐、商品住宅等经营性用地以及同一宗地有两个以上意向用地者，必须以拍卖或者挂牌方式有偿供地，统一在中国土地市场网和我省网上交易平台公开进行。扩大有偿使用范围，积极推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公用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设施用地有偿使用。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（五）坚持科学发展和节约集约用地政策，项目用地鼓励利用存量，严格控制增量。工业用地项目推广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“标准地”出让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（一）强化措施，确保供地服务质量。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计划实施中，要把握全面，突出重点，强化服务，保障供应，对年度重大项目用地、政策性住房用地要采取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提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前介入，跟踪服务，切实满足项目建设用地需求。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（二）加强协调配合。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高新区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、县自然资源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县城乡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规划编研中心、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发改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发展服务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中心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市生态环境局睢县分局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等相关部门要密切协调配合，共同组织做好建设项目用地各项前期准备工作，各乡镇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街道、示范中心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也要充分发挥职能优势，积极配合做好计划实施工作。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（三）保证计划指标有效落实。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原则上，每季度基本完成供地面积，上季度未完成供应的，可结转至下一季度，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保障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全年供地计划的落实。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hanging="800" w:hangingChars="25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98" w:leftChars="304" w:hanging="160" w:hangingChars="5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附件：1.睢县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2023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年度国有建设用地供应计划表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leftChars="0" w:hanging="1280" w:hangingChars="4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　　　 2.睢县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2023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年度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国有建设用地供应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计划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宗地表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 w:ascii="仿宋_GB2312" w:hAnsi="宋体" w:eastAsia="仿宋_GB2312" w:cs="宋体"/>
          <w:color w:val="FF0000"/>
          <w:sz w:val="32"/>
          <w:szCs w:val="32"/>
          <w:u w:val="single" w:color="auto"/>
        </w:rPr>
      </w:pPr>
    </w:p>
    <w:p>
      <w:pPr>
        <w:pStyle w:val="2"/>
        <w:rPr>
          <w:rFonts w:hint="eastAsia" w:ascii="仿宋_GB2312" w:hAnsi="宋体" w:eastAsia="仿宋_GB2312" w:cs="宋体"/>
          <w:color w:val="FF0000"/>
          <w:sz w:val="32"/>
          <w:szCs w:val="32"/>
          <w:u w:val="single" w:color="auto"/>
        </w:rPr>
      </w:pPr>
    </w:p>
    <w:p>
      <w:pPr>
        <w:rPr>
          <w:rFonts w:hint="eastAsia" w:ascii="仿宋_GB2312" w:hAnsi="宋体" w:eastAsia="仿宋_GB2312" w:cs="宋体"/>
          <w:color w:val="FF0000"/>
          <w:sz w:val="32"/>
          <w:szCs w:val="32"/>
          <w:u w:val="single" w:color="auto"/>
        </w:rPr>
      </w:pPr>
    </w:p>
    <w:p>
      <w:pPr>
        <w:pStyle w:val="2"/>
        <w:rPr>
          <w:rFonts w:hint="eastAsia" w:ascii="仿宋_GB2312" w:hAnsi="宋体" w:eastAsia="仿宋_GB2312" w:cs="宋体"/>
          <w:color w:val="FF0000"/>
          <w:sz w:val="32"/>
          <w:szCs w:val="32"/>
          <w:u w:val="single" w:color="auto"/>
        </w:rPr>
      </w:pPr>
    </w:p>
    <w:p>
      <w:pPr>
        <w:rPr>
          <w:rFonts w:hint="eastAsia" w:ascii="仿宋_GB2312" w:hAnsi="宋体" w:eastAsia="仿宋_GB2312" w:cs="宋体"/>
          <w:color w:val="FF0000"/>
          <w:sz w:val="32"/>
          <w:szCs w:val="32"/>
          <w:u w:val="single" w:color="auto"/>
        </w:rPr>
      </w:pPr>
    </w:p>
    <w:p>
      <w:pPr>
        <w:pStyle w:val="2"/>
        <w:rPr>
          <w:rFonts w:hint="eastAsia" w:ascii="仿宋_GB2312" w:hAnsi="宋体" w:eastAsia="仿宋_GB2312" w:cs="宋体"/>
          <w:color w:val="FF0000"/>
          <w:sz w:val="32"/>
          <w:szCs w:val="32"/>
          <w:u w:val="single" w:color="auto"/>
        </w:rPr>
      </w:pPr>
    </w:p>
    <w:p>
      <w:pPr>
        <w:rPr>
          <w:rFonts w:hint="eastAsia" w:ascii="仿宋_GB2312" w:hAnsi="宋体" w:eastAsia="仿宋_GB2312" w:cs="宋体"/>
          <w:color w:val="FF0000"/>
          <w:sz w:val="32"/>
          <w:szCs w:val="32"/>
          <w:u w:val="single" w:color="auto"/>
        </w:rPr>
      </w:pPr>
    </w:p>
    <w:p>
      <w:pPr>
        <w:pStyle w:val="2"/>
        <w:rPr>
          <w:rFonts w:hint="eastAsia" w:ascii="仿宋_GB2312" w:hAnsi="宋体" w:eastAsia="仿宋_GB2312" w:cs="宋体"/>
          <w:color w:val="FF0000"/>
          <w:sz w:val="32"/>
          <w:szCs w:val="32"/>
          <w:u w:val="single" w:color="auto"/>
        </w:rPr>
      </w:pPr>
    </w:p>
    <w:p>
      <w:pPr>
        <w:rPr>
          <w:rFonts w:hint="eastAsia" w:ascii="仿宋_GB2312" w:hAnsi="宋体" w:eastAsia="仿宋_GB2312" w:cs="宋体"/>
          <w:color w:val="FF0000"/>
          <w:sz w:val="32"/>
          <w:szCs w:val="32"/>
          <w:u w:val="single" w:color="auto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1440" w:right="1531" w:bottom="1440" w:left="1531" w:header="851" w:footer="1418" w:gutter="0"/>
          <w:pgNumType w:fmt="decimal"/>
          <w:cols w:space="720" w:num="1"/>
          <w:docGrid w:type="linesAndChars" w:linePitch="610" w:charSpace="190"/>
        </w:sectPr>
      </w:pPr>
    </w:p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rPr>
          <w:rFonts w:hint="eastAsia" w:ascii="仿宋_GB2312" w:hAnsi="宋体" w:eastAsia="仿宋_GB2312" w:cs="宋体"/>
          <w:bCs/>
          <w:color w:val="FF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u w:val="single"/>
        </w:rPr>
      </w:pP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睢县202</w:t>
      </w:r>
      <w:r>
        <w:rPr>
          <w:rFonts w:hint="eastAsia" w:asciiTheme="majorEastAsia" w:hAnsiTheme="majorEastAsia" w:eastAsiaTheme="majorEastAsia" w:cstheme="majorEastAsia"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年度国有建设用地供应计划表</w:t>
      </w:r>
    </w:p>
    <w:p>
      <w:pPr>
        <w:spacing w:line="560" w:lineRule="exact"/>
        <w:ind w:firstLine="11970" w:firstLineChars="42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单位：公顷</w:t>
      </w:r>
    </w:p>
    <w:tbl>
      <w:tblPr>
        <w:tblStyle w:val="5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29"/>
        <w:gridCol w:w="992"/>
        <w:gridCol w:w="1276"/>
        <w:gridCol w:w="1275"/>
        <w:gridCol w:w="1276"/>
        <w:gridCol w:w="1276"/>
        <w:gridCol w:w="1276"/>
        <w:gridCol w:w="1275"/>
        <w:gridCol w:w="993"/>
        <w:gridCol w:w="1134"/>
        <w:gridCol w:w="992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区分</w:t>
            </w:r>
          </w:p>
        </w:tc>
        <w:tc>
          <w:tcPr>
            <w:tcW w:w="11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合计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商服用地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工矿仓储用地</w:t>
            </w:r>
          </w:p>
        </w:tc>
        <w:tc>
          <w:tcPr>
            <w:tcW w:w="63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住宅用地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公共管理与公共服务用地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交通运输用地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水域及水利设施用地</w:t>
            </w: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特殊用地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eastAsia="仿宋_GB2312"/>
                <w:sz w:val="32"/>
                <w:szCs w:val="32"/>
                <w:u w:val="none" w:color="auto"/>
              </w:rPr>
            </w:pPr>
          </w:p>
        </w:tc>
        <w:tc>
          <w:tcPr>
            <w:tcW w:w="1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eastAsia="仿宋_GB2312"/>
                <w:sz w:val="32"/>
                <w:szCs w:val="32"/>
                <w:u w:val="none" w:color="auto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eastAsia="仿宋_GB2312"/>
                <w:sz w:val="32"/>
                <w:szCs w:val="32"/>
                <w:u w:val="none" w:color="auto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eastAsia="仿宋_GB2312"/>
                <w:sz w:val="32"/>
                <w:szCs w:val="32"/>
                <w:u w:val="none" w:color="auto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小计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廉租房（公租房）用地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棚户区（危旧楼）改造用地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普通商品房用地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 w:color="auto"/>
              </w:rPr>
              <w:t>其他住房用地</w:t>
            </w: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eastAsia="仿宋_GB2312"/>
                <w:sz w:val="32"/>
                <w:szCs w:val="32"/>
                <w:u w:val="none" w:color="auto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eastAsia="仿宋_GB2312"/>
                <w:sz w:val="32"/>
                <w:szCs w:val="32"/>
                <w:u w:val="none" w:color="auto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eastAsia="仿宋_GB2312"/>
                <w:sz w:val="32"/>
                <w:szCs w:val="32"/>
                <w:u w:val="none" w:color="auto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eastAsia="仿宋_GB2312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 w:color="auto"/>
              </w:rPr>
              <w:t>睢县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541.9494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39.2936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54.3756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仿宋_GB2312" w:eastAsia="仿宋_GB2312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u w:val="none" w:color="auto"/>
                <w:lang w:val="en-US" w:eastAsia="zh-CN"/>
              </w:rPr>
              <w:t>92.4959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  <w:u w:val="none" w:color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u w:val="none" w:color="auto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48.261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44.2349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99.7057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256.0786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  <w:u w:val="none" w:color="auto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  <w:u w:val="none" w:color="auto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bCs/>
          <w:sz w:val="32"/>
          <w:szCs w:val="32"/>
        </w:rPr>
        <w:sectPr>
          <w:headerReference r:id="rId9" w:type="default"/>
          <w:footerReference r:id="rId10" w:type="default"/>
          <w:pgSz w:w="16838" w:h="11906" w:orient="landscape"/>
          <w:pgMar w:top="1418" w:right="1701" w:bottom="1418" w:left="1701" w:header="851" w:footer="1418" w:gutter="0"/>
          <w:pgNumType w:fmt="decimal"/>
          <w:cols w:space="720" w:num="1"/>
          <w:docGrid w:type="linesAndChars" w:linePitch="610" w:charSpace="1219"/>
        </w:sectPr>
      </w:pPr>
    </w:p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仿宋_GB2312" w:hAnsi="宋体" w:eastAsia="仿宋_GB2312" w:cs="宋体"/>
          <w:bCs/>
          <w:color w:val="FF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睢县202</w:t>
      </w:r>
      <w:r>
        <w:rPr>
          <w:rFonts w:hint="eastAsia" w:asciiTheme="majorEastAsia" w:hAnsiTheme="majorEastAsia" w:eastAsiaTheme="majorEastAsia" w:cstheme="majorEastAsia"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年度国有建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设用地供应</w:t>
      </w:r>
      <w:r>
        <w:rPr>
          <w:rFonts w:hint="eastAsia" w:asciiTheme="majorEastAsia" w:hAnsiTheme="majorEastAsia" w:eastAsiaTheme="majorEastAsia" w:cstheme="majorEastAsia"/>
          <w:bCs/>
          <w:sz w:val="44"/>
          <w:szCs w:val="44"/>
          <w:lang w:eastAsia="zh-CN"/>
        </w:rPr>
        <w:t>计划宗地</w:t>
      </w: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表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25" w:firstLineChars="2500"/>
        <w:rPr>
          <w:rFonts w:hint="default" w:ascii="仿宋_GB2312" w:hAnsi="Times New Roman" w:eastAsia="仿宋_GB2312" w:cs="Times New Roman"/>
          <w:sz w:val="28"/>
          <w:szCs w:val="28"/>
          <w:lang w:val="en-US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单位：公顷</w:t>
      </w:r>
    </w:p>
    <w:tbl>
      <w:tblPr>
        <w:tblStyle w:val="5"/>
        <w:tblW w:w="55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15"/>
        <w:gridCol w:w="1158"/>
        <w:gridCol w:w="1946"/>
        <w:gridCol w:w="127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宗地编号</w:t>
            </w:r>
          </w:p>
        </w:tc>
        <w:tc>
          <w:tcPr>
            <w:tcW w:w="175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宗地位置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宗地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面积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宗地用途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供地方式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供地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黄河路东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、恒山西路北侧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15.7365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嵩山路北侧、凤仪路西侧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0.3524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居住兼容商业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振兴路东侧、泰山路北侧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13.4004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拍卖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中心大街东侧、泰山路南侧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13.6553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拍卖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振兴路东侧、泰山路南侧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20.7336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居住兼容商业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拍卖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富民路西侧、拱州路南侧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10.6505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居住兼容商业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凤城大道南侧、申家沟西侧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21.2039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阳新高速睢县段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256.0786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道路交通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划拨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振兴路西侧、嵩山路北侧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0.2195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居住兼容商业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湖西路南延清真寺北侧、道路东侧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0.0587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11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匡城乡匡城村西南、道路西侧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0.1747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12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匡城乡刘庄村西侧、道路北侧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0.628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公共设施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划拨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13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长岗集东睢后路南侧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14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振兴路东侧、董变路南侧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1.956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工业用地“标准地”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15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迎宾路西侧、规划路南侧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2.39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居住兼容商业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16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西环路东侧、规划路南侧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0.5693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医疗卫生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17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凤仪路西侧、凤鸣路北侧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1.3953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居住兼容商业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18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拱州路北侧、凤仪路东侧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0.7613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幼儿园用地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19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凤栖路南侧、利民河西侧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1.398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居住兼容商业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20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锦绣大道南侧、利民河西侧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1.6613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居住兼容商业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21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嵩山路南侧、黄河路西侧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44.6738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公园绿地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划拨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22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振兴路东侧、华山路北侧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2.8351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拍卖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23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富民路西侧、富余街南侧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5.5922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拍卖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24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复兴路北侧、利民河西侧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6.1425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公园绿地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划拨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25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G343北侧、富民路西侧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16.6146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公共服务设施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划拨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26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马开路北侧、规划路东侧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2.1272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27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南环与振兴路交叉口西北角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3.101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居住兼容商业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28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世纪大道东侧、振兴路西侧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0.6847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29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黄山路与西外环交叉口东南角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0.2933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30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尚屯镇姚吉屯村东侧、郑永路北侧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0.22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31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世纪大道东侧、财源路南侧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16.3688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公共设施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32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华莹路西侧、京典肥业南侧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3.4801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33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聚源路南侧、利民河西侧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1.0193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教育科研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划拨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34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嵩山路北侧、解芝八河东侧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1.2803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公共设施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划拨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35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世纪大道西侧、广源路北侧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1.37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36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豪峰路南侧、解芝八河东侧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2.6305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37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黄河路西侧、南苑南街南侧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4.7284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教育科研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划拨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38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西环路西侧、凤城大道西延北侧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3.9604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拍卖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39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海河路南延东侧、南环路北侧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6.2639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教育科研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划拨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40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天水路西侧、昌盛路北侧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1.3228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41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法院家属院西侧、襄邑路北侧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2.3333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居住兼容商业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42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南环路南侧、睢平路西侧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0.0733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43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民太路东侧、惠济河北侧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0.4033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44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河堤乡党里村东侧、睢柘路南侧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0.1973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45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白楼乡阮洼村北侧、052县道东侧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0.1667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46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白楼乡顺河村北侧、002乡道东侧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47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尤吉屯乡尤西村西侧、郑永路北侧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0.1067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48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潮庄镇大刘村北路西侧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0.434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49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世纪大道东侧、恒山中路北侧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0.6555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医疗卫生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划拨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50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世纪大道东侧、管委会南侧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4.1652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51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世纪大道东侧、聚源路北侧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1.6427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52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中央大街北延西侧、聚源路南侧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0.9555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53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世纪大道东侧、安琪路南侧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6.6664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54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海河路东侧、黄山路南侧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12.5898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55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黄河路东侧、豪烽路南侧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1.6012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拍卖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56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世纪大道西侧、南苑北街南侧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2.2211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拍卖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57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世纪大道东侧、北环北侧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2.2088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拍卖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58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凤城大道南侧、古襄路西侧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11.6126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拍卖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59</w:t>
            </w: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襄邑路南侧、东二环东侧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5.9738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商业用地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合计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instrText xml:space="preserve"> = sum(C2:C60) \* MERGEFORMAT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541.9494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477520</wp:posOffset>
                </wp:positionV>
                <wp:extent cx="5505450" cy="4057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Times New Roman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睢县人民政府办公室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32"/>
                                <w:szCs w:val="32"/>
                              </w:rPr>
                              <w:t>印发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25pt;margin-top:37.6pt;height:31.95pt;width:433.5pt;z-index:251661312;mso-width-relative:page;mso-height-relative:page;" filled="f" stroked="f" coordsize="21600,21600" o:gfxdata="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eqF8NYAAAAI&#10;AQAADwAAAAAAAAABACAAAAAiAAAAZHJzL2Rvd25yZXYueG1sUEsBAhQAFAAAAAgAh07iQK0e6gys&#10;AQAATg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Times New Roman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睢县人民政府办公室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23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32"/>
                          <w:szCs w:val="32"/>
                        </w:rPr>
                        <w:t>印发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882650</wp:posOffset>
                </wp:positionV>
                <wp:extent cx="560070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.5pt;height:0pt;width:441pt;mso-wrap-distance-bottom:0pt;mso-wrap-distance-top:0pt;z-index:251659264;mso-width-relative:page;mso-height-relative:page;" filled="f" stroked="t" coordsize="21600,21600" o:gfxdata="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oDRhNMAAAAIAQAADwAAAAAAAAABACAAAAAiAAAAZHJzL2Rvd25yZXYueG1sUEsBAhQAFAAA&#10;AAgAh07iQOdleEn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549275</wp:posOffset>
                </wp:positionV>
                <wp:extent cx="560070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3.25pt;height:0pt;width:441pt;mso-wrap-distance-bottom:0pt;mso-wrap-distance-top:0pt;z-index:251660288;mso-width-relative:page;mso-height-relative:page;" filled="f" stroked="t" coordsize="21600,21600" o:gfxdata="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UWOorTAAAABgEAAA8AAAAAAAAAAQAgAAAAIgAAAGRycy9kb3ducmV2LnhtbFBLAQIUABQA&#10;AAAIAIdO4kDFs7CT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pgSz w:w="11906" w:h="16838"/>
      <w:pgMar w:top="1440" w:right="1531" w:bottom="1440" w:left="1531" w:header="851" w:footer="1418" w:gutter="0"/>
      <w:pgNumType w:fmt="decimal"/>
      <w:cols w:space="720" w:num="1"/>
      <w:docGrid w:type="linesAndChars" w:linePitch="61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</w:rPr>
    </w:pPr>
    <w:r>
      <w:rPr>
        <w:rStyle w:val="7"/>
        <w:rFonts w:hint="eastAsia"/>
        <w:sz w:val="28"/>
      </w:rPr>
      <w:t xml:space="preserve">  —</w:t>
    </w:r>
    <w:r>
      <w:rPr>
        <w:rStyle w:val="7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jViM2JkNzdiYjkzYTQ5ZmNjNThhNDBmN2I5ZDYifQ=="/>
  </w:docVars>
  <w:rsids>
    <w:rsidRoot w:val="09C23B32"/>
    <w:rsid w:val="09C23B32"/>
    <w:rsid w:val="249D0284"/>
    <w:rsid w:val="31E21108"/>
    <w:rsid w:val="39661785"/>
    <w:rsid w:val="43E57155"/>
    <w:rsid w:val="66C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textAlignment w:val="auto"/>
      <w:outlineLvl w:val="1"/>
    </w:pPr>
    <w:rPr>
      <w:rFonts w:ascii="Arial" w:hAnsi="Arial" w:eastAsia="黑体"/>
      <w:b/>
      <w:bCs/>
      <w:color w:val="auto"/>
      <w:kern w:val="2"/>
      <w:sz w:val="32"/>
      <w:szCs w:val="32"/>
      <w:u w:val="none" w:color="auto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2796</Words>
  <Characters>3297</Characters>
  <Lines>0</Lines>
  <Paragraphs>0</Paragraphs>
  <TotalTime>76</TotalTime>
  <ScaleCrop>false</ScaleCrop>
  <LinksUpToDate>false</LinksUpToDate>
  <CharactersWithSpaces>3331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2023-03-09T03:21:00Z</dcterms:created>
  <dc:creator>哥哥</dc:creator>
  <cp:lastModifiedBy>旅途</cp:lastModifiedBy>
  <cp:lastPrinted>2023-03-14T00:05:00Z</cp:lastPrinted>
  <dcterms:modified xsi:type="dcterms:W3CDTF">2023-03-21T03:46:51Z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DA2B1B8A75344DC0B5D8E7A0897F781F</vt:lpwstr>
  </property>
</Properties>
</file>