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FF0000"/>
          <w:sz w:val="110"/>
          <w:szCs w:val="110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sz w:val="110"/>
          <w:szCs w:val="110"/>
        </w:rPr>
        <w:t>睢县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sz w:val="110"/>
          <w:szCs w:val="110"/>
          <w:lang w:val="en-US" w:eastAsia="zh-CN"/>
        </w:rPr>
        <w:t>司法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sz w:val="110"/>
          <w:szCs w:val="110"/>
        </w:rPr>
        <w:t>局文件</w:t>
      </w:r>
    </w:p>
    <w:p>
      <w:pPr>
        <w:spacing w:line="600" w:lineRule="exact"/>
        <w:ind w:firstLine="2400" w:firstLineChars="75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600" w:lineRule="exact"/>
        <w:ind w:firstLine="2400" w:firstLineChars="75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color w:val="auto"/>
          <w:sz w:val="32"/>
          <w:szCs w:val="32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号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签发人：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谢立</w:t>
      </w:r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FF0000"/>
          <w:sz w:val="32"/>
          <w:szCs w:val="32"/>
          <w:u w:val="none"/>
        </w:rPr>
        <w:t xml:space="preserve">                                     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办理结果：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A</w:t>
      </w:r>
      <w:r>
        <w:rPr>
          <w:rFonts w:hint="eastAsia" w:ascii="仿宋_GB2312" w:eastAsia="仿宋_GB2312"/>
          <w:color w:val="FF0000"/>
          <w:sz w:val="32"/>
          <w:szCs w:val="32"/>
          <w:u w:val="non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</w:p>
    <w:p>
      <w:pPr>
        <w:tabs>
          <w:tab w:val="left" w:pos="3321"/>
        </w:tabs>
        <w:spacing w:line="600" w:lineRule="exact"/>
        <w:rPr>
          <w:rFonts w:hint="eastAsia" w:ascii="仿宋_GB2312" w:eastAsia="仿宋_GB2312"/>
          <w:color w:val="auto"/>
          <w:sz w:val="32"/>
          <w:szCs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58420</wp:posOffset>
                </wp:positionV>
                <wp:extent cx="5400675" cy="0"/>
                <wp:effectExtent l="0" t="13970" r="9525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5860" y="2877820"/>
                          <a:ext cx="540067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8pt;margin-top:4.6pt;height:0pt;width:425.25pt;z-index:251659264;mso-width-relative:page;mso-height-relative:page;" filled="f" stroked="t" coordsize="21600,21600" o:gfxdata="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sFRstYAAAAFAQAADwAAAAAAAAABACAAAAAiAAAAZHJzL2Rvd25yZXYueG1sUEsBAhQAFAAA&#10;AAgAh07iQJ8Q1FbxAQAAvgMAAA4AAAAAAAAAAQAgAAAAJQEAAGRycy9lMm9Eb2MueG1sUEsFBgAA&#10;AAAGAAYAWQEAAIgF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</w:rPr>
        <w:t>关于对县十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</w:rPr>
        <w:t>届人大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val="en-US" w:eastAsia="zh-CN"/>
        </w:rPr>
        <w:t>87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</w:rPr>
        <w:t>号建议的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8"/>
          <w:sz w:val="44"/>
          <w:szCs w:val="44"/>
        </w:rPr>
        <w:t>答     复</w:t>
      </w:r>
    </w:p>
    <w:p>
      <w:pPr>
        <w:spacing w:line="600" w:lineRule="exact"/>
        <w:rPr>
          <w:rFonts w:hint="eastAsia" w:ascii="华文中宋" w:hAnsi="华文中宋" w:eastAsia="华文中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祝艳伦</w:t>
      </w:r>
      <w:r>
        <w:rPr>
          <w:rFonts w:hint="eastAsia" w:ascii="仿宋_GB2312" w:eastAsia="仿宋_GB2312"/>
          <w:color w:val="auto"/>
          <w:sz w:val="32"/>
          <w:szCs w:val="32"/>
        </w:rPr>
        <w:t>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您提出的关于“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加强人民调解工作</w:t>
      </w:r>
      <w:r>
        <w:rPr>
          <w:rFonts w:hint="eastAsia" w:ascii="仿宋_GB2312" w:eastAsia="仿宋_GB2312"/>
          <w:color w:val="auto"/>
          <w:sz w:val="32"/>
          <w:szCs w:val="32"/>
        </w:rPr>
        <w:t>”的建议收悉。现答复如下：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我县在现有人民调解员队伍的基础上，由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委政法委牵头制定并印发了《关于做好乡镇专职人民调解员（社会法官）选聘工作加强基层矛盾纠纷预防化解队伍建设的实施意见》，《意见》中已经明确规定了专职调解员的工作职责、选聘对象和选聘条件、选聘程序、选聘人员的待遇和管理以及工作要求中的组织领导、工作指导、经费保障等内容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《中华人民共和国人民调解法》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财政部、司法部《关于进一步加强人民调解工作经费保障的意见》（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财行</w:t>
      </w:r>
      <w:r>
        <w:rPr>
          <w:rFonts w:hint="eastAsia" w:ascii="仿宋_GB2312" w:hAnsi="仿宋_GB2312" w:eastAsia="仿宋_GB2312" w:cs="仿宋_GB2312"/>
          <w:i w:val="0"/>
          <w:caps w:val="0"/>
          <w:strike w:val="0"/>
          <w:dstrike w:val="0"/>
          <w:color w:val="auto"/>
          <w:spacing w:val="0"/>
          <w:sz w:val="32"/>
          <w:szCs w:val="32"/>
          <w:shd w:val="clear" w:fill="FFFFFF"/>
          <w:lang w:val="en-US" w:eastAsia="zh-CN"/>
        </w:rPr>
        <w:t>〔2007〕179号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strike w:val="0"/>
          <w:dstrike w:val="0"/>
          <w:color w:val="auto"/>
          <w:spacing w:val="0"/>
          <w:sz w:val="32"/>
          <w:szCs w:val="32"/>
          <w:shd w:val="clear" w:fill="FFFFFF"/>
          <w:lang w:val="en-US" w:eastAsia="zh-CN"/>
        </w:rPr>
        <w:t>和《关于印发&lt;司法行政机关财务管理办法&gt;的通知》（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财行</w:t>
      </w:r>
      <w:r>
        <w:rPr>
          <w:rFonts w:hint="eastAsia" w:ascii="仿宋_GB2312" w:hAnsi="仿宋_GB2312" w:eastAsia="仿宋_GB2312" w:cs="仿宋_GB2312"/>
          <w:i w:val="0"/>
          <w:caps w:val="0"/>
          <w:strike w:val="0"/>
          <w:dstrike w:val="0"/>
          <w:color w:val="auto"/>
          <w:spacing w:val="0"/>
          <w:sz w:val="32"/>
          <w:szCs w:val="32"/>
          <w:shd w:val="clear" w:fill="FFFFFF"/>
          <w:lang w:val="en-US" w:eastAsia="zh-CN"/>
        </w:rPr>
        <w:t>〔2017〕515号）、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共河南省委政法委、河南省高级人民法院、省司法厅、省民政厅、省财政厅、省人力资源和社会保障厅《关于加强人民调解员队伍建设的实施意见》（豫司文〔2018〕181号），商丘市司法局、商丘市财政局关于印发《关于加强人民调解工作经费保障的意见》（商司文〔2019〕75号），商丘市司法局《关于同步做好村（社区）“两委”换届期间村（居）人民调解委员会换届工作的通知》（商司文〔2020〕100号），睢县司法局联合睢县财政局出台了《关于加强人民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解工作经费保障的意见》和《睢县司法局关于加强案件管理实施意见》。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下一步，我局将根据调解员队伍的现状及整体素质，适时举办人民调解员政治理论和业务培训班，进一步提高人民调解员履职能力和工作水平。</w:t>
      </w:r>
    </w:p>
    <w:p>
      <w:pPr>
        <w:spacing w:line="600" w:lineRule="exact"/>
        <w:ind w:firstLine="960" w:firstLineChars="3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</w:t>
      </w:r>
    </w:p>
    <w:p>
      <w:pPr>
        <w:spacing w:line="600" w:lineRule="exact"/>
        <w:ind w:firstLine="960" w:firstLineChars="3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睢县司法局</w:t>
      </w:r>
    </w:p>
    <w:p>
      <w:pPr>
        <w:spacing w:line="600" w:lineRule="exact"/>
        <w:ind w:firstLine="960" w:firstLineChars="3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600" w:lineRule="exact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联系电话：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8112339</w:t>
      </w:r>
      <w:bookmarkStart w:id="0" w:name="_GoBack"/>
      <w:bookmarkEnd w:id="0"/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常丹丹</w:t>
      </w:r>
    </w:p>
    <w:p>
      <w:pPr>
        <w:spacing w:line="600" w:lineRule="exact"/>
        <w:ind w:left="-735" w:leftChars="-350" w:right="-735" w:rightChars="-350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600" w:lineRule="exact"/>
        <w:ind w:right="-735" w:rightChars="-35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600" w:lineRule="exact"/>
        <w:ind w:left="-735" w:leftChars="-350" w:right="-735" w:rightChars="-350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ZWM3ZWUzNTZlYjA2NzkwMjhlNWM3ZTJkOGEyZDQifQ=="/>
  </w:docVars>
  <w:rsids>
    <w:rsidRoot w:val="06F463F0"/>
    <w:rsid w:val="025C1016"/>
    <w:rsid w:val="06F463F0"/>
    <w:rsid w:val="10C36704"/>
    <w:rsid w:val="14706FD7"/>
    <w:rsid w:val="14861C46"/>
    <w:rsid w:val="29695C42"/>
    <w:rsid w:val="301F52AD"/>
    <w:rsid w:val="342310E4"/>
    <w:rsid w:val="4477582A"/>
    <w:rsid w:val="518965D2"/>
    <w:rsid w:val="58F23511"/>
    <w:rsid w:val="698F7606"/>
    <w:rsid w:val="771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3">
    <w:name w:val="Body Text First Indent"/>
    <w:basedOn w:val="2"/>
    <w:next w:val="1"/>
    <w:qFormat/>
    <w:uiPriority w:val="0"/>
    <w:pPr>
      <w:spacing w:after="0"/>
      <w:ind w:firstLine="420" w:firstLineChars="100"/>
    </w:pPr>
    <w:rPr>
      <w:rFonts w:hint="eastAsia"/>
      <w:sz w:val="32"/>
    </w:r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2023-11-03T01:35:00Z</dcterms:created>
  <dc:creator>Administrator</dc:creator>
  <cp:lastModifiedBy>Administrator</cp:lastModifiedBy>
  <dcterms:modified xsi:type="dcterms:W3CDTF">2023-12-27T01:12:14Z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F42002CD8F0B457D97FB0B6070FEF1E9_13</vt:lpwstr>
  </property>
</Properties>
</file>