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p>
    <w:p>
      <w:pPr>
        <w:jc w:val="center"/>
        <w:rPr>
          <w:rFonts w:hint="eastAsia"/>
          <w:b/>
          <w:bCs/>
          <w:sz w:val="44"/>
          <w:szCs w:val="44"/>
          <w:lang w:eastAsia="zh-CN"/>
        </w:rPr>
      </w:pPr>
    </w:p>
    <w:p>
      <w:pPr>
        <w:jc w:val="center"/>
        <w:rPr>
          <w:rFonts w:hint="eastAsia"/>
          <w:b/>
          <w:bCs/>
          <w:sz w:val="44"/>
          <w:szCs w:val="44"/>
          <w:lang w:eastAsia="zh-CN"/>
        </w:rPr>
      </w:pPr>
    </w:p>
    <w:p>
      <w:pPr>
        <w:jc w:val="center"/>
        <w:rPr>
          <w:rFonts w:hint="eastAsia"/>
          <w:b/>
          <w:bCs/>
          <w:sz w:val="44"/>
          <w:szCs w:val="44"/>
          <w:lang w:eastAsia="zh-CN"/>
        </w:rPr>
      </w:pPr>
    </w:p>
    <w:p>
      <w:pPr>
        <w:jc w:val="center"/>
        <w:rPr>
          <w:rFonts w:hint="eastAsia" w:ascii="仿宋" w:hAnsi="仿宋" w:eastAsia="仿宋" w:cs="仿宋"/>
          <w:b w:val="0"/>
          <w:bCs w:val="0"/>
          <w:color w:val="auto"/>
          <w:sz w:val="32"/>
          <w:szCs w:val="32"/>
          <w:lang w:val="en-US" w:eastAsia="zh-CN"/>
        </w:rPr>
      </w:pPr>
    </w:p>
    <w:p>
      <w:pPr>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睢民发〔2023〕45号 </w:t>
      </w:r>
    </w:p>
    <w:p>
      <w:pPr>
        <w:jc w:val="center"/>
        <w:rPr>
          <w:rFonts w:hint="eastAsia"/>
          <w:b/>
          <w:bCs/>
          <w:sz w:val="44"/>
          <w:szCs w:val="44"/>
          <w:lang w:eastAsia="zh-CN"/>
        </w:rPr>
      </w:pPr>
      <w:r>
        <w:rPr>
          <w:rFonts w:hint="eastAsia" w:ascii="仿宋" w:hAnsi="仿宋" w:eastAsia="仿宋" w:cs="仿宋"/>
          <w:b w:val="0"/>
          <w:bCs w:val="0"/>
          <w:color w:val="auto"/>
          <w:sz w:val="32"/>
          <w:szCs w:val="32"/>
          <w:lang w:val="en-US" w:eastAsia="zh-CN"/>
        </w:rPr>
        <w:t xml:space="preserve">  </w:t>
      </w:r>
    </w:p>
    <w:p>
      <w:pPr>
        <w:jc w:val="center"/>
        <w:rPr>
          <w:rFonts w:hint="eastAsia"/>
          <w:b/>
          <w:bCs/>
          <w:sz w:val="44"/>
          <w:szCs w:val="44"/>
        </w:rPr>
      </w:pPr>
      <w:r>
        <w:rPr>
          <w:rFonts w:hint="eastAsia"/>
          <w:b/>
          <w:bCs/>
          <w:sz w:val="44"/>
          <w:szCs w:val="44"/>
          <w:lang w:eastAsia="zh-CN"/>
        </w:rPr>
        <w:t>睢县民政局</w:t>
      </w:r>
      <w:r>
        <w:rPr>
          <w:rFonts w:hint="eastAsia"/>
          <w:b/>
          <w:bCs/>
          <w:sz w:val="44"/>
          <w:szCs w:val="44"/>
        </w:rPr>
        <w:t>关于乡村建设专项审计调查</w:t>
      </w:r>
    </w:p>
    <w:p>
      <w:pPr>
        <w:jc w:val="center"/>
        <w:rPr>
          <w:rFonts w:hint="eastAsia"/>
          <w:b/>
          <w:bCs/>
          <w:sz w:val="44"/>
          <w:szCs w:val="44"/>
        </w:rPr>
      </w:pPr>
      <w:r>
        <w:rPr>
          <w:rFonts w:hint="eastAsia"/>
          <w:b/>
          <w:bCs/>
          <w:sz w:val="44"/>
          <w:szCs w:val="44"/>
        </w:rPr>
        <w:t>存在问题整改报告</w:t>
      </w:r>
    </w:p>
    <w:p>
      <w:pPr>
        <w:jc w:val="center"/>
        <w:rPr>
          <w:rFonts w:hint="eastAsia"/>
          <w:b/>
          <w:bCs/>
          <w:sz w:val="44"/>
          <w:szCs w:val="44"/>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河南省审计厅</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2023年5月25日至7月31日，河南省审计厅对我县2021年至2023年5月乡村建设行动相关资金和政策落实情况进行了专项审计调查，出具了审计报告。现就审计报告中我单位存在问题整改如下</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一、高度重视审计整改工作</w:t>
      </w:r>
    </w:p>
    <w:p>
      <w:pPr>
        <w:keepNext w:val="0"/>
        <w:keepLines w:val="0"/>
        <w:pageBreakBefore w:val="0"/>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我单位收到审计报告后，立即召开</w:t>
      </w:r>
      <w:r>
        <w:rPr>
          <w:rFonts w:hint="eastAsia" w:ascii="仿宋" w:hAnsi="仿宋" w:eastAsia="仿宋" w:cs="仿宋"/>
          <w:sz w:val="32"/>
          <w:szCs w:val="32"/>
          <w:lang w:eastAsia="zh-CN"/>
        </w:rPr>
        <w:t>局党组会议</w:t>
      </w:r>
      <w:r>
        <w:rPr>
          <w:rFonts w:hint="eastAsia" w:ascii="仿宋" w:hAnsi="仿宋" w:eastAsia="仿宋" w:cs="仿宋"/>
          <w:sz w:val="32"/>
          <w:szCs w:val="32"/>
        </w:rPr>
        <w:t>进行研究，听取汇报，分析问题根源，完善问题清单、措施清单、责任清单，切实做好整改工作。进一步重申了审计整改工作的必要性和重要性，并对整改工作做出了安排部署，成立了由</w:t>
      </w:r>
      <w:r>
        <w:rPr>
          <w:rFonts w:hint="eastAsia" w:ascii="仿宋" w:hAnsi="仿宋" w:eastAsia="仿宋" w:cs="仿宋"/>
          <w:sz w:val="32"/>
          <w:szCs w:val="32"/>
          <w:lang w:eastAsia="zh-CN"/>
        </w:rPr>
        <w:t>党组副书记、</w:t>
      </w:r>
      <w:r>
        <w:rPr>
          <w:rFonts w:hint="eastAsia" w:ascii="仿宋" w:hAnsi="仿宋" w:eastAsia="仿宋" w:cs="仿宋"/>
          <w:sz w:val="32"/>
          <w:szCs w:val="32"/>
        </w:rPr>
        <w:t>副</w:t>
      </w:r>
      <w:r>
        <w:rPr>
          <w:rFonts w:hint="eastAsia" w:ascii="仿宋" w:hAnsi="仿宋" w:eastAsia="仿宋" w:cs="仿宋"/>
          <w:sz w:val="32"/>
          <w:szCs w:val="32"/>
          <w:lang w:eastAsia="zh-CN"/>
        </w:rPr>
        <w:t>局长李振堂</w:t>
      </w:r>
      <w:r>
        <w:rPr>
          <w:rFonts w:hint="eastAsia" w:ascii="仿宋" w:hAnsi="仿宋" w:eastAsia="仿宋" w:cs="仿宋"/>
          <w:sz w:val="32"/>
          <w:szCs w:val="32"/>
        </w:rPr>
        <w:t>牵头、相关科室配合的整改工作小组，</w:t>
      </w:r>
      <w:r>
        <w:rPr>
          <w:rFonts w:hint="eastAsia" w:ascii="仿宋" w:hAnsi="仿宋" w:eastAsia="仿宋" w:cs="仿宋"/>
          <w:sz w:val="32"/>
          <w:szCs w:val="32"/>
          <w:lang w:eastAsia="zh-CN"/>
        </w:rPr>
        <w:t>针对</w:t>
      </w:r>
      <w:r>
        <w:rPr>
          <w:rFonts w:hint="eastAsia" w:ascii="仿宋" w:hAnsi="仿宋" w:eastAsia="仿宋" w:cs="仿宋"/>
          <w:sz w:val="32"/>
          <w:szCs w:val="32"/>
        </w:rPr>
        <w:t>出现</w:t>
      </w:r>
      <w:r>
        <w:rPr>
          <w:rFonts w:hint="eastAsia" w:ascii="仿宋" w:hAnsi="仿宋" w:eastAsia="仿宋" w:cs="仿宋"/>
          <w:sz w:val="32"/>
          <w:szCs w:val="32"/>
          <w:lang w:eastAsia="zh-CN"/>
        </w:rPr>
        <w:t>的</w:t>
      </w:r>
      <w:r>
        <w:rPr>
          <w:rFonts w:hint="eastAsia" w:ascii="仿宋" w:hAnsi="仿宋" w:eastAsia="仿宋" w:cs="仿宋"/>
          <w:sz w:val="32"/>
          <w:szCs w:val="32"/>
        </w:rPr>
        <w:t>问题进行督促</w:t>
      </w:r>
      <w:r>
        <w:rPr>
          <w:rFonts w:hint="eastAsia" w:ascii="仿宋" w:hAnsi="仿宋" w:eastAsia="仿宋" w:cs="仿宋"/>
          <w:sz w:val="32"/>
          <w:szCs w:val="32"/>
          <w:lang w:eastAsia="zh-CN"/>
        </w:rPr>
        <w:t>整改并</w:t>
      </w:r>
      <w:r>
        <w:rPr>
          <w:rFonts w:hint="eastAsia" w:ascii="仿宋" w:hAnsi="仿宋" w:eastAsia="仿宋" w:cs="仿宋"/>
          <w:sz w:val="32"/>
          <w:szCs w:val="32"/>
        </w:rPr>
        <w:t>具体落实整改工作。</w:t>
      </w:r>
    </w:p>
    <w:p>
      <w:pPr>
        <w:keepNext w:val="0"/>
        <w:keepLines w:val="0"/>
        <w:pageBreakBefore w:val="0"/>
        <w:kinsoku/>
        <w:wordWrap/>
        <w:overflowPunct/>
        <w:topLinePunct w:val="0"/>
        <w:autoSpaceDE/>
        <w:autoSpaceDN/>
        <w:bidi w:val="0"/>
        <w:adjustRightInd/>
        <w:snapToGrid/>
        <w:spacing w:line="520" w:lineRule="exact"/>
        <w:ind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二、审计整改落实情况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 w:hAnsi="仿宋" w:eastAsia="仿宋" w:cs="仿宋"/>
          <w:b/>
          <w:bCs/>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关于</w:t>
      </w:r>
      <w:r>
        <w:rPr>
          <w:rFonts w:hint="eastAsia" w:ascii="仿宋" w:hAnsi="仿宋" w:eastAsia="仿宋" w:cs="仿宋"/>
          <w:b w:val="0"/>
          <w:bCs w:val="0"/>
          <w:sz w:val="32"/>
          <w:szCs w:val="32"/>
          <w:lang w:val="en-US" w:eastAsia="zh-CN"/>
        </w:rPr>
        <w:t>农村养老服务机构床位闲置和短缺问题并存。截止2023年6月底，睢县有20所公办农村乡镇敬老院，共有床位1125张，入住老年人412人，入住率36.62%。因睢县尚未推行公办养老机构改革，未制定公办养老机构对外收费指导标准，目前仅收住无劳动能力、无生活来源及无赡养人的特困老年人，富余的养老床位无法向社会开放，其他有需求的农村老人无法入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整改措施</w:t>
      </w:r>
      <w:r>
        <w:rPr>
          <w:rFonts w:hint="eastAsia" w:ascii="仿宋" w:hAnsi="仿宋" w:eastAsia="仿宋" w:cs="仿宋"/>
          <w:sz w:val="32"/>
          <w:szCs w:val="32"/>
          <w:lang w:eastAsia="zh-CN"/>
        </w:rPr>
        <w:t>：</w:t>
      </w:r>
      <w:r>
        <w:rPr>
          <w:rFonts w:hint="eastAsia" w:ascii="仿宋_GB2312" w:eastAsia="仿宋_GB2312"/>
          <w:sz w:val="32"/>
          <w:szCs w:val="32"/>
          <w:lang w:val="en-US" w:eastAsia="zh-CN"/>
        </w:rPr>
        <w:t>一是向县政府申请出台关于特困供养机构面向社会老人开放的政策文件，提高特困供养机构入住率；二是</w:t>
      </w:r>
      <w:r>
        <w:rPr>
          <w:rFonts w:hint="eastAsia" w:ascii="仿宋" w:hAnsi="仿宋" w:eastAsia="仿宋" w:cs="仿宋"/>
          <w:sz w:val="32"/>
          <w:szCs w:val="32"/>
          <w:lang w:val="en-US" w:eastAsia="zh-CN"/>
        </w:rPr>
        <w:t>将加快推进乡镇特困供养机构转型为区域型综合养老服务中心，目前已转型的6所区域型综合养老服务中心已面向社会，招收不同类型的老人入住；三是6所公建民营的特困供养机构已经面向社会招收社会老人，通过转型和公建民营的方式满足不同类型的老人就近入住需求。四是正在建设</w:t>
      </w:r>
      <w:r>
        <w:rPr>
          <w:rFonts w:hint="eastAsia" w:ascii="仿宋" w:hAnsi="仿宋" w:eastAsia="仿宋" w:cs="仿宋"/>
          <w:kern w:val="2"/>
          <w:sz w:val="32"/>
          <w:szCs w:val="32"/>
          <w:lang w:val="en-US" w:eastAsia="zh-CN" w:bidi="ar-SA"/>
        </w:rPr>
        <w:t>睢县中心敬老院扩建</w:t>
      </w:r>
      <w:r>
        <w:rPr>
          <w:rFonts w:hint="eastAsia" w:ascii="仿宋" w:hAnsi="仿宋" w:eastAsia="仿宋" w:cs="仿宋"/>
          <w:b w:val="0"/>
          <w:bCs w:val="0"/>
          <w:sz w:val="32"/>
          <w:szCs w:val="32"/>
          <w:lang w:eastAsia="zh-CN"/>
        </w:rPr>
        <w:t>（重度残疾人照护中心）</w:t>
      </w:r>
      <w:r>
        <w:rPr>
          <w:rFonts w:hint="eastAsia" w:ascii="仿宋" w:hAnsi="仿宋" w:eastAsia="仿宋" w:cs="仿宋"/>
          <w:kern w:val="2"/>
          <w:sz w:val="32"/>
          <w:szCs w:val="32"/>
          <w:lang w:val="en-US" w:eastAsia="zh-CN" w:bidi="ar-SA"/>
        </w:rPr>
        <w:t>项目，</w:t>
      </w:r>
      <w:r>
        <w:rPr>
          <w:rFonts w:hint="eastAsia" w:ascii="仿宋" w:hAnsi="仿宋" w:eastAsia="仿宋" w:cs="仿宋"/>
          <w:sz w:val="32"/>
          <w:szCs w:val="32"/>
          <w:lang w:val="en-US" w:eastAsia="zh-CN"/>
        </w:rPr>
        <w:t>新增养老床位</w:t>
      </w:r>
      <w:r>
        <w:rPr>
          <w:rFonts w:hint="eastAsia" w:ascii="仿宋" w:hAnsi="仿宋" w:eastAsia="仿宋" w:cs="仿宋"/>
          <w:kern w:val="2"/>
          <w:sz w:val="32"/>
          <w:szCs w:val="32"/>
          <w:lang w:val="en-US" w:eastAsia="zh-CN" w:bidi="ar-SA"/>
        </w:rPr>
        <w:t>400张，申请</w:t>
      </w:r>
      <w:r>
        <w:rPr>
          <w:rFonts w:hint="eastAsia" w:ascii="仿宋_GB2312" w:hAnsi="仿宋_GB2312" w:eastAsia="仿宋_GB2312" w:cs="仿宋_GB2312"/>
          <w:b w:val="0"/>
          <w:bCs w:val="0"/>
          <w:sz w:val="32"/>
          <w:szCs w:val="32"/>
          <w:lang w:val="en-US" w:eastAsia="zh-CN"/>
        </w:rPr>
        <w:t>乡镇敬老院改扩建项目，</w:t>
      </w:r>
      <w:r>
        <w:rPr>
          <w:rFonts w:hint="eastAsia" w:ascii="仿宋" w:hAnsi="仿宋" w:eastAsia="仿宋" w:cs="仿宋"/>
          <w:sz w:val="32"/>
          <w:szCs w:val="32"/>
          <w:lang w:val="en-US" w:eastAsia="zh-CN"/>
        </w:rPr>
        <w:t>新增养老床位2550张，申请</w:t>
      </w:r>
      <w:r>
        <w:rPr>
          <w:rFonts w:hint="eastAsia" w:ascii="仿宋" w:hAnsi="仿宋" w:eastAsia="仿宋" w:cs="仿宋"/>
          <w:kern w:val="2"/>
          <w:sz w:val="32"/>
          <w:szCs w:val="32"/>
          <w:lang w:val="en-US" w:eastAsia="zh-CN" w:bidi="ar-SA"/>
        </w:rPr>
        <w:t>养老产业园项目，新增床位2000张。三个项目完成后睢县每千名养老床位达到40张。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关于</w:t>
      </w:r>
      <w:r>
        <w:rPr>
          <w:rFonts w:hint="eastAsia" w:ascii="仿宋" w:hAnsi="仿宋" w:eastAsia="仿宋" w:cs="仿宋"/>
          <w:b w:val="0"/>
          <w:bCs w:val="0"/>
          <w:sz w:val="32"/>
          <w:szCs w:val="32"/>
          <w:lang w:val="en-US" w:eastAsia="zh-CN"/>
        </w:rPr>
        <w:t>20个乡镇敬老院838张护理床闲置未使用，涉及金额145.15万元。截至2023年5月底，睢县20个乡镇敬老院共配备1045张护理床、涉及资金181万元，因睢县民政局前调研不充分，采购的护理床因不方便院中老人使用，导致838张护理床长期闲置未使用，涉及资金145.15</w:t>
      </w:r>
      <w:bookmarkStart w:id="0" w:name="_GoBack"/>
      <w:bookmarkEnd w:id="0"/>
      <w:r>
        <w:rPr>
          <w:rFonts w:hint="eastAsia" w:ascii="仿宋" w:hAnsi="仿宋" w:eastAsia="仿宋" w:cs="仿宋"/>
          <w:b w:val="0"/>
          <w:bCs w:val="0"/>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rPr>
        <w:t>整改措施</w:t>
      </w:r>
      <w:r>
        <w:rPr>
          <w:rFonts w:hint="eastAsia" w:ascii="仿宋" w:hAnsi="仿宋" w:eastAsia="仿宋" w:cs="仿宋"/>
          <w:sz w:val="32"/>
          <w:szCs w:val="32"/>
          <w:lang w:eastAsia="zh-CN"/>
        </w:rPr>
        <w:t>：</w:t>
      </w:r>
      <w:r>
        <w:rPr>
          <w:rFonts w:hint="eastAsia" w:ascii="仿宋_GB2312" w:eastAsia="仿宋_GB2312"/>
          <w:sz w:val="32"/>
          <w:szCs w:val="32"/>
          <w:lang w:val="en-US" w:eastAsia="zh-CN"/>
        </w:rPr>
        <w:t>民政局与乡镇人民政府、乡镇敬老院制定相应措施，增加老人入住率，提高护理床使用率，确保不闲置。</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三）睢县未按规定建设农村公益性墓地，按上级政策要求，睢县应在2021年底前建成至少20个示范性农村公益性墓地，但因工作推进不力、建设用地指标供应不足，截至2023年5月底，睢县未开展农村公益性墓地建设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整改措施:</w:t>
      </w:r>
      <w:r>
        <w:rPr>
          <w:rFonts w:hint="eastAsia" w:ascii="仿宋" w:hAnsi="仿宋" w:eastAsia="仿宋" w:cs="仿宋"/>
          <w:b w:val="0"/>
          <w:bCs w:val="0"/>
          <w:color w:val="auto"/>
          <w:sz w:val="32"/>
          <w:szCs w:val="32"/>
          <w:lang w:eastAsia="zh-CN"/>
        </w:rPr>
        <w:t>已经向县政府、自然资源局提交农村公益性公墓用地申请，并督促各乡镇寻找符合公益性公墓建设条件的土地，积极争取项目资金，确保早日完成农村公益性公墓建设任务。</w:t>
      </w:r>
    </w:p>
    <w:p>
      <w:pPr>
        <w:keepNext w:val="0"/>
        <w:keepLines w:val="0"/>
        <w:pageBreakBefore w:val="0"/>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今后，我单位将按照审计报告提出的整改要求，严格落实整改措施，细化整改方案，确保政策措施落实落地。持续强化监督，做到常抓不懈，杜绝类似问题再次发生。</w:t>
      </w:r>
    </w:p>
    <w:tbl>
      <w:tblPr>
        <w:tblStyle w:val="7"/>
        <w:tblpPr w:leftFromText="180" w:rightFromText="180" w:vertAnchor="text" w:horzAnchor="page" w:tblpX="1724" w:tblpY="402"/>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760"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vertAlign w:val="baseline"/>
              </w:rPr>
            </w:pPr>
            <w:r>
              <w:rPr>
                <w:rFonts w:hint="eastAsia" w:ascii="仿宋" w:hAnsi="仿宋" w:eastAsia="仿宋" w:cs="仿宋"/>
                <w:b/>
                <w:bCs/>
                <w:sz w:val="32"/>
                <w:szCs w:val="32"/>
                <w:vertAlign w:val="baseline"/>
              </w:rPr>
              <w:t>睢县乡镇敬老院转型区域性养老服务中心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760" w:type="dxa"/>
          </w:tcPr>
          <w:p>
            <w:pPr>
              <w:keepNext w:val="0"/>
              <w:keepLines w:val="0"/>
              <w:pageBreakBefore w:val="0"/>
              <w:kinsoku/>
              <w:wordWrap/>
              <w:overflowPunct/>
              <w:topLinePunct w:val="0"/>
              <w:autoSpaceDE/>
              <w:autoSpaceDN/>
              <w:bidi w:val="0"/>
              <w:adjustRightInd/>
              <w:snapToGrid/>
              <w:spacing w:line="520" w:lineRule="exact"/>
              <w:jc w:val="lef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2021年蓼堤镇敬老院、尚屯镇敬老院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760" w:type="dxa"/>
          </w:tcPr>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rPr>
            </w:pPr>
            <w:r>
              <w:rPr>
                <w:rFonts w:hint="eastAsia" w:ascii="仿宋" w:hAnsi="仿宋" w:eastAsia="仿宋" w:cs="仿宋"/>
                <w:sz w:val="32"/>
                <w:szCs w:val="32"/>
                <w:vertAlign w:val="baseline"/>
                <w:lang w:val="en-US" w:eastAsia="zh-CN"/>
              </w:rPr>
              <w:t>2022年董店街道敬老院、凤城街道敬老院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760" w:type="dxa"/>
          </w:tcPr>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rPr>
            </w:pPr>
            <w:r>
              <w:rPr>
                <w:rFonts w:hint="eastAsia" w:ascii="仿宋" w:hAnsi="仿宋" w:eastAsia="仿宋" w:cs="仿宋"/>
                <w:sz w:val="32"/>
                <w:szCs w:val="32"/>
                <w:vertAlign w:val="baseline"/>
                <w:lang w:val="en-US" w:eastAsia="zh-CN"/>
              </w:rPr>
              <w:t>2023年尤吉屯乡敬老院、胡堂乡敬老院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760" w:type="dxa"/>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vertAlign w:val="baseline"/>
              </w:rPr>
            </w:pPr>
            <w:r>
              <w:rPr>
                <w:rFonts w:hint="eastAsia" w:ascii="仿宋" w:hAnsi="仿宋" w:eastAsia="仿宋" w:cs="仿宋"/>
                <w:b/>
                <w:bCs/>
                <w:sz w:val="32"/>
                <w:szCs w:val="32"/>
                <w:vertAlign w:val="baseline"/>
              </w:rPr>
              <w:t>睢县民办养老机构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760" w:type="dxa"/>
          </w:tcPr>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rPr>
              <w:t>夕阳红老年公寓</w:t>
            </w:r>
            <w:r>
              <w:rPr>
                <w:rFonts w:hint="eastAsia" w:ascii="仿宋" w:hAnsi="仿宋" w:eastAsia="仿宋" w:cs="仿宋"/>
                <w:sz w:val="32"/>
                <w:szCs w:val="32"/>
                <w:vertAlign w:val="baseline"/>
                <w:lang w:eastAsia="zh-CN"/>
              </w:rPr>
              <w:t>、凤城托老院、金秋老年公寓、阳春园托老院、睢县康梦园医养保健服务有限公司、米茶养老服务（河南）有限公司</w:t>
            </w:r>
          </w:p>
        </w:tc>
      </w:tr>
    </w:tbl>
    <w:p>
      <w:pPr>
        <w:pStyle w:val="4"/>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040" w:firstLineChars="1500"/>
        <w:rPr>
          <w:rFonts w:hint="eastAsia" w:ascii="仿宋" w:hAnsi="仿宋" w:eastAsia="仿宋" w:cs="仿宋"/>
          <w:i w:val="0"/>
          <w:iCs w:val="0"/>
          <w:caps w:val="0"/>
          <w:color w:val="000000"/>
          <w:spacing w:val="8"/>
          <w:sz w:val="32"/>
          <w:szCs w:val="32"/>
          <w:shd w:val="clear" w:color="auto" w:fill="FFFFFF"/>
          <w:lang w:val="en-US" w:eastAsia="zh-CN"/>
        </w:rPr>
      </w:pPr>
    </w:p>
    <w:p>
      <w:pPr>
        <w:pStyle w:val="4"/>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040" w:firstLineChars="1500"/>
        <w:rPr>
          <w:rFonts w:hint="eastAsia" w:ascii="仿宋" w:hAnsi="仿宋" w:eastAsia="仿宋" w:cs="仿宋"/>
          <w:i w:val="0"/>
          <w:iCs w:val="0"/>
          <w:caps w:val="0"/>
          <w:color w:val="000000"/>
          <w:spacing w:val="8"/>
          <w:sz w:val="32"/>
          <w:szCs w:val="32"/>
          <w:shd w:val="clear" w:color="auto" w:fill="FFFFFF"/>
          <w:lang w:val="en-US" w:eastAsia="zh-CN"/>
        </w:rPr>
      </w:pPr>
    </w:p>
    <w:p>
      <w:pPr>
        <w:pStyle w:val="4"/>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040" w:firstLineChars="1500"/>
        <w:rPr>
          <w:rFonts w:hint="eastAsia" w:ascii="仿宋" w:hAnsi="仿宋" w:eastAsia="仿宋" w:cs="仿宋"/>
          <w:i w:val="0"/>
          <w:iCs w:val="0"/>
          <w:caps w:val="0"/>
          <w:color w:val="000000"/>
          <w:spacing w:val="8"/>
          <w:sz w:val="32"/>
          <w:szCs w:val="32"/>
          <w:shd w:val="clear" w:color="auto" w:fill="FFFFFF"/>
          <w:lang w:val="en-US" w:eastAsia="zh-CN"/>
        </w:rPr>
      </w:pPr>
    </w:p>
    <w:p>
      <w:pPr>
        <w:pStyle w:val="4"/>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368" w:firstLineChars="1300"/>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2023年10月16日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rightChars="0" w:firstLine="640" w:firstLineChars="200"/>
        <w:rPr>
          <w:rFonts w:hint="eastAsia" w:ascii="仿宋" w:hAnsi="仿宋" w:eastAsia="仿宋" w:cs="仿宋"/>
          <w:i w:val="0"/>
          <w:iCs w:val="0"/>
          <w:caps w:val="0"/>
          <w:color w:val="000000"/>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MmRmODQ3MmYxMGJiMTZlMjQ5MTk5ZDBlNjQxZTcifQ=="/>
  </w:docVars>
  <w:rsids>
    <w:rsidRoot w:val="2D562786"/>
    <w:rsid w:val="23425BAE"/>
    <w:rsid w:val="245C2C9F"/>
    <w:rsid w:val="2D562786"/>
    <w:rsid w:val="34587780"/>
    <w:rsid w:val="366009D3"/>
    <w:rsid w:val="387F642B"/>
    <w:rsid w:val="3CE8111C"/>
    <w:rsid w:val="3CF97798"/>
    <w:rsid w:val="488A09E6"/>
    <w:rsid w:val="4FB76EE0"/>
    <w:rsid w:val="6FF4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Cs w:val="21"/>
    </w:rPr>
  </w:style>
  <w:style w:type="paragraph" w:styleId="3">
    <w:name w:val="Body Text 2"/>
    <w:basedOn w:val="1"/>
    <w:unhideWhenUsed/>
    <w:qFormat/>
    <w:uiPriority w:val="99"/>
    <w:pPr>
      <w:spacing w:after="120" w:line="480" w:lineRule="auto"/>
    </w:pPr>
  </w:style>
  <w:style w:type="paragraph" w:styleId="4">
    <w:name w:val="Normal Indent"/>
    <w:basedOn w:val="1"/>
    <w:qFormat/>
    <w:uiPriority w:val="0"/>
    <w:pPr>
      <w:widowControl/>
      <w:spacing w:line="351" w:lineRule="atLeast"/>
      <w:ind w:firstLine="420" w:firstLineChars="200"/>
      <w:textAlignment w:val="baseline"/>
    </w:pPr>
    <w:rPr>
      <w:color w:val="000000"/>
      <w:kern w:val="0"/>
      <w:szCs w:val="20"/>
      <w:u w:val="none" w:color="000000"/>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2023-10-16T09:18:00Z</dcterms:created>
  <dc:creator>某人。</dc:creator>
  <cp:lastModifiedBy>无语</cp:lastModifiedBy>
  <cp:lastPrinted>2023-12-13T02:14:04Z</cp:lastPrinted>
  <dcterms:modified xsi:type="dcterms:W3CDTF">2023-12-13T02:15:45Z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19DD5B42A9B54F47825B1CD777F2530E_13</vt:lpwstr>
  </property>
</Properties>
</file>