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default" w:ascii="Times New Roman" w:hAnsi="Times New Roman" w:eastAsia="仿宋" w:cs="Times New Roman"/>
          <w:bCs/>
          <w:sz w:val="44"/>
          <w:szCs w:val="44"/>
        </w:rPr>
      </w:pPr>
      <w:r>
        <w:rPr>
          <w:rFonts w:hint="default" w:ascii="Times New Roman" w:hAnsi="Times New Roman" w:eastAsia="仿宋" w:cs="Times New Roman"/>
          <w:bCs/>
          <w:sz w:val="44"/>
          <w:szCs w:val="44"/>
        </w:rPr>
        <w:t>睢县202</w:t>
      </w:r>
      <w:r>
        <w:rPr>
          <w:rFonts w:hint="eastAsia" w:eastAsia="仿宋" w:cs="Times New Roman"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Cs/>
          <w:sz w:val="44"/>
          <w:szCs w:val="44"/>
        </w:rPr>
        <w:t>年重大政策和重点项目</w:t>
      </w:r>
    </w:p>
    <w:p>
      <w:pPr>
        <w:spacing w:line="600" w:lineRule="exact"/>
        <w:ind w:firstLine="880" w:firstLineChars="200"/>
        <w:jc w:val="center"/>
        <w:rPr>
          <w:rFonts w:hint="default" w:ascii="Times New Roman" w:hAnsi="Times New Roman" w:eastAsia="仿宋" w:cs="Times New Roman"/>
          <w:bCs/>
          <w:sz w:val="44"/>
          <w:szCs w:val="44"/>
        </w:rPr>
      </w:pPr>
      <w:r>
        <w:rPr>
          <w:rFonts w:hint="default" w:ascii="Times New Roman" w:hAnsi="Times New Roman" w:eastAsia="仿宋" w:cs="Times New Roman"/>
          <w:bCs/>
          <w:sz w:val="44"/>
          <w:szCs w:val="44"/>
        </w:rPr>
        <w:t>绩效执行结果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202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睢县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财政局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以习近平新时代中国特色社会主义思想为指导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认真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贯彻落实中央及省市关于全面实施预算绩效管理工作要求，</w:t>
      </w:r>
      <w:r>
        <w:rPr>
          <w:rFonts w:hint="eastAsia" w:ascii="仿宋_GB2312" w:eastAsia="仿宋_GB2312"/>
          <w:sz w:val="32"/>
          <w:szCs w:val="32"/>
        </w:rPr>
        <w:t>创新预算管理方式，更加注重结果导向、强调成本效益、硬化责任约束，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提升绩效能力，不断强化举措，加快推进全方位、全过程、全覆盖的预算绩效管理体系建设，在事前绩效评估、绩效目标管理、绩效运行监控、重点绩效评价、绩效信息公开等方面开展了一系列工作。按照“建机制、规运行，重管理、突效益”的工作思路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创新项目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谋划、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项目管理、资金管理、建立长效机制等方式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，本着项目早谋划、绩效目标早设定、早审核、早批复、项目早推进、资金早见效，让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广大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群众早日受益的工作思路，多措并举，统筹推进，不断加大统筹整合和资金投入力度，确保了财政资金及时足额拨付、规范有效运行，促进了项目全面顺利完成，绩效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管理成效显著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实施预算绩效管理</w:t>
      </w:r>
      <w:r>
        <w:rPr>
          <w:rFonts w:hint="eastAsia" w:ascii="仿宋_GB2312" w:eastAsia="仿宋_GB2312"/>
          <w:sz w:val="32"/>
          <w:szCs w:val="32"/>
        </w:rPr>
        <w:t>推动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财政资金聚力增效，提高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公共服务供给质量，增强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政府公信力和执行力，为推进我县经济社会高质量发展提供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有力保障。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绩效管理开展情况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（一）绩效目标设定情况。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项目单位对绩效目标设定高度重视，按照县级预算编制规定和相关要求，结合项目实际和客观要求，科学合理设定了项目资金绩效目标,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开展项目绩效目标设定的部门共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95个，绩效目标设定的范围全面覆盖了四本预算，实施目标设定的项目有2298个，涉及金额为58.61亿元，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目标设定率达到100%。对于绩效目标设定不明确不合理的项目不得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申请财政资金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（二）绩效目标审核情况。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县财政局会同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住建局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、农业农村局、交通、水利等行业主管部门，依据国家相关政策及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规划，组织对单位上报的绩效目标进行联合审核，重点审核绩效目标的合规性、完整性、相关性、适当性、匹配性和可行性等方面，把绩效目标审核结果分为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“通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过”、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“不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通过”两个等次，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不通过的项目，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要求项目单位对绩效目标进行完善后重新申报。202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年对所有的设定的绩效目标进行联合审核，目标审核通过率达到100%。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（三）绩效目标批复情况。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财政局按照相关程序对审核通过的绩效目标进行批复，并随同资金指标和项目批复一同下达，绩效目标批复后，原则上不作调整。我县对所有的设定的绩效目标全部进行批复，项目单位全部对批复的绩效目标进行网上公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（四）绩效目标监控执行情况。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项目单位本年度实施的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绩效管理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项目全程进行跟踪监控，重点对项目预算和绩效运行情况进行跟踪分析，找偏差原因，制定整改措施确保绩效目标不偏离轨道；睢县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财政局有关负责人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定期不定期对项目绩效目标实施进展情况进行监督检查，重点查看项目实施、资金拨付和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实施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成效。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（五）绩效目标自评情况。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为进一步提高全县预算部门绩效管理业务能力，按照年度工作安排，于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2023年8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月15日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至8月16日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召开全县财政绩效自评工作培训会。同时下发《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睢县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关于开展2022年度县级预算绩效自评工作的通知》，要求所有预算单位对2022年预算支出绩效目标完成情况进行自我评价，包括项目支出绩效自评价、部门（单位）整体预算绩效自评。共组织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个一级预算单位进行2022年度绩效自评工作，共计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2471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个项目，涉及评价金额64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18亿元。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（六）绩效目标自评结果运用情况。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我县对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实施预算绩效管理的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项目组织开展绩效评价，特别对项目资金效益指标和满意度指标的持续效益进行评价，并对绩效自评抽查结果、绩效评价结果作为分配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资金的重要依据。</w:t>
      </w:r>
      <w:bookmarkStart w:id="0" w:name="bookmark86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财政局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年项目绩效管理开展好，项目绩效发挥好的单位进行通报表彰，对绩效管理不好的单位提出改进建议。同时今后将把绩效管理作为项目单位改进管理、调整财政支出方向、安排以后年度预算的重要参考依据。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重点项目绩效执行结果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为促进预算管理效率、资金使用效益的提升，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睢县财政局</w:t>
      </w:r>
      <w:r>
        <w:rPr>
          <w:rFonts w:hint="eastAsia" w:ascii="仿宋" w:hAnsi="仿宋" w:eastAsia="仿宋" w:cs="仿宋"/>
          <w:sz w:val="32"/>
          <w:szCs w:val="32"/>
        </w:rPr>
        <w:t>抽取就业补助的培训专项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项目、</w:t>
      </w:r>
      <w:r>
        <w:rPr>
          <w:rFonts w:hint="eastAsia" w:ascii="仿宋" w:hAnsi="仿宋" w:eastAsia="仿宋" w:cs="仿宋"/>
          <w:sz w:val="32"/>
          <w:szCs w:val="32"/>
        </w:rPr>
        <w:t>固体危险废物应急处理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项目、</w:t>
      </w:r>
      <w:r>
        <w:rPr>
          <w:rFonts w:hint="eastAsia" w:ascii="仿宋" w:hAnsi="仿宋" w:eastAsia="仿宋" w:cs="仿宋"/>
          <w:sz w:val="32"/>
          <w:szCs w:val="32"/>
        </w:rPr>
        <w:t>体育彩票基金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项目、</w:t>
      </w:r>
      <w:r>
        <w:rPr>
          <w:rFonts w:hint="eastAsia" w:ascii="仿宋" w:hAnsi="仿宋" w:eastAsia="仿宋" w:cs="仿宋"/>
          <w:sz w:val="32"/>
          <w:szCs w:val="32"/>
        </w:rPr>
        <w:t>营养餐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亚新农副产品深加工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产业园项目5个涉及民生、社会关注度较高的202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涉及金额7350.93万元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抽取退役军人事务局部门整体支出涉及资金6120.78万元，开展财政支出重点绩效评价工作，财政重点绩效评价以202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预算为基础，着眼于多年度资金使用绩效开展评价。对跨年度实施的项目，可根据完成情况拓展1-3年进行总体或阶段性评价。经第三方绩效评价结果显示，被评价项目总体绩效目标明确，决策依据充分，资金分配科学合理，项目管理较规范，项目完成良好，基本达到了预期效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green"/>
          <w:lang w:eastAsia="zh-CN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（一）就业补助的培训专项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睢县2022年就业补助项目绩效目标得到较好实现。2022年度内开展技能培训共43期85个班次，9738人；开展创业培训共5期10个班次，298人。线上动态发布企业急需紧缺用工岗位信息47期，线下持续举办百日千万网络招聘、民营企业招聘月等服务系列活动35场，各培训班次均根据开课计划及时开课，完成教学任务通过技能培训和创业培训，提高了困难群众求职技能水平，提高了有创业意向群众的创业基础理论知识，丰富了劳动人群求职渠道。项目实施后我县2022年度城镇新增就业人数7890人；年度城镇失业人员再就业人数2257人；年度就业困难人员就业人数1052人；新增转移农村劳动力人数9439人；返乡入乡创业人数5751人；年度回归就业创业人数4.61万人，各项任务完成数均超额完成市定任务目标。项目的实施提高就业人员的就业技能，促进了困难群众和返乡群众等群体就业创业。为我县和周边等地区的劳动密集型产业提供了充足的高质量劳动力，促进了地区经济发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（二）固体危险废物应急处理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2022年固体危险废物应急处理项目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由睢县环保局采取公开招标的方式确定有资质的第三方公司，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应急处置郝营村坑塘内的危险废物，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处置固体危险废物800吨。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经检验检测，各项环保指标均已达标，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项目实施极大地改善了居民区的生活环境，提高居民的生活质量和幸福指数，得到群众的支持和肯定。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（三）体育彩票基金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睢县体育彩票基金项目用于采购健身器材、举办各类活动赛事、场地维护、青少年训练、足球场管理等。2022年睢县体育服务中心健身器材采购完成率达100%、验收合格率达100%、安装完成率达100%，参与九次活动：“贺岁杯”五人制足球冠军赛比赛、“商丘市第六届运动会青少年竞技组摔跤柔道比赛”、“共享太极·共享健康”、“襄邑杯”五人制足球冠军联赛、“体彩杯”老年门球赛、“体彩杯”全民健身活动、“体彩”睢县全民健身系列活动乒乓球竞赛、老年文体展演、2022年全民健身系列活动之篮球邀请赛。项目实施</w:t>
      </w:r>
      <w:bookmarkStart w:id="1" w:name="_GoBack"/>
      <w:bookmarkEnd w:id="1"/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加强睢县公共体育基础设施建设，深入开展群众性体育活动，大力推进体育产业的发展，为全县体育建设取得重要突破和成果。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（四）亚新农副产品深加工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  <w:t>烘干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产业园项目。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2022年胡堂乡亚新农副产品深加工（烘干）产业园项目绩效目标得到较好实现。工程新建仓储车间一座2000平方米，新建年产5000吨腐竹生产线。工程已按照合同约定建设内容建设完工，经胡堂乡人民政府组织施工单位、监理单位等各责任单位验收，质量合格。项目投入使用后，促进了村集体经济的发展，胡堂乡文庄村民委员会按照“四议两公开”工作法，确定项目带贫收益资金的村级分配方案，项目集体收益资金主要用于公益性岗位、小型公益事业扶贫、带贫帮扶、奖励补助、贫困户救助等。胡堂乡人民政府针对帮扶项目制定了《胡堂乡帮扶项目公益性资产后续管护方案》明确了各岗位管护责任，同时成立胡堂乡帮扶项目管护领导组，与管护人签订管护合同，进一步完善了制度体系，保证扶贫产业的稳定、健康发展，促进乡村振兴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（五）退役军人事务局。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2022年，睢县退役军人事务局严格落实各项优抚保障政策，按时为全县各类优抚对象6135人足额发放抚恤金及生活补助，为义务兵家庭发放优待金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涉及792人；为重点优抚对象缴纳居民医保费，涉及1000人；缴纳居民医保费，涉及779人；组织25名重点优抚对象到省军休服务中心参加了短期疗养，切实维护优抚对象合法权益。为全面提升退役军人医疗保障水平，增加退役军人获得感、幸福感、荣誉感，县人民医院定为双拥优抚医院、退役军人优待证合作医院，让退役军人享受到便捷、优质、高效的医疗保障服务。2022年睢县退役军人事务局组织235名自主就业退役士兵参加职业技能培训，提升退役军人的就业竞争能力；组织27名转业士官参加岗前教育培训，引导退役士兵保持转业不转志、退伍不褪色的优良传统。</w:t>
      </w:r>
    </w:p>
    <w:p>
      <w:pPr>
        <w:pStyle w:val="3"/>
        <w:rPr>
          <w:rFonts w:eastAsia="仿宋_GB2312"/>
          <w:kern w:val="1"/>
        </w:rPr>
      </w:pPr>
    </w:p>
    <w:sectPr>
      <w:footerReference r:id="rId3" w:type="default"/>
      <w:pgSz w:w="11906" w:h="16838"/>
      <w:pgMar w:top="1383" w:right="1803" w:bottom="1440" w:left="1803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NWMwNzVhZGEyYjUxMGY0YmQxMzg1OTIyYjZjNTEifQ=="/>
  </w:docVars>
  <w:rsids>
    <w:rsidRoot w:val="001E410E"/>
    <w:rsid w:val="00083999"/>
    <w:rsid w:val="000C0411"/>
    <w:rsid w:val="000C288D"/>
    <w:rsid w:val="00103E4C"/>
    <w:rsid w:val="0012099A"/>
    <w:rsid w:val="001419AF"/>
    <w:rsid w:val="001553C6"/>
    <w:rsid w:val="0016687D"/>
    <w:rsid w:val="001C388F"/>
    <w:rsid w:val="001E410E"/>
    <w:rsid w:val="001F1461"/>
    <w:rsid w:val="00210A7C"/>
    <w:rsid w:val="00256882"/>
    <w:rsid w:val="002B7C16"/>
    <w:rsid w:val="002E3706"/>
    <w:rsid w:val="002F3C82"/>
    <w:rsid w:val="00331471"/>
    <w:rsid w:val="003459D5"/>
    <w:rsid w:val="00396BEF"/>
    <w:rsid w:val="003A26DD"/>
    <w:rsid w:val="00410D0A"/>
    <w:rsid w:val="0042677E"/>
    <w:rsid w:val="004804BC"/>
    <w:rsid w:val="005D06EB"/>
    <w:rsid w:val="00686ED7"/>
    <w:rsid w:val="00696704"/>
    <w:rsid w:val="006B5F54"/>
    <w:rsid w:val="006C2712"/>
    <w:rsid w:val="0070060A"/>
    <w:rsid w:val="00777F19"/>
    <w:rsid w:val="00797795"/>
    <w:rsid w:val="007B21EC"/>
    <w:rsid w:val="008D3311"/>
    <w:rsid w:val="008E76B3"/>
    <w:rsid w:val="009B69DD"/>
    <w:rsid w:val="009D286B"/>
    <w:rsid w:val="00A07C2E"/>
    <w:rsid w:val="00A235FD"/>
    <w:rsid w:val="00A35D21"/>
    <w:rsid w:val="00A62EE8"/>
    <w:rsid w:val="00A904B4"/>
    <w:rsid w:val="00B33CFE"/>
    <w:rsid w:val="00B74C8E"/>
    <w:rsid w:val="00BA0CE9"/>
    <w:rsid w:val="00BB0F18"/>
    <w:rsid w:val="00BB4D01"/>
    <w:rsid w:val="00BE1FF3"/>
    <w:rsid w:val="00BF7365"/>
    <w:rsid w:val="00C878E5"/>
    <w:rsid w:val="00CE060B"/>
    <w:rsid w:val="00D32145"/>
    <w:rsid w:val="00D41556"/>
    <w:rsid w:val="00D426B1"/>
    <w:rsid w:val="00D71B8C"/>
    <w:rsid w:val="00D97638"/>
    <w:rsid w:val="00DA45C2"/>
    <w:rsid w:val="00E76B4D"/>
    <w:rsid w:val="00EC70AA"/>
    <w:rsid w:val="00F0572F"/>
    <w:rsid w:val="00F96154"/>
    <w:rsid w:val="00FA409D"/>
    <w:rsid w:val="00FE3659"/>
    <w:rsid w:val="02822DDE"/>
    <w:rsid w:val="02D4652C"/>
    <w:rsid w:val="0A1704F1"/>
    <w:rsid w:val="0C400033"/>
    <w:rsid w:val="0EA83B0F"/>
    <w:rsid w:val="12CA3932"/>
    <w:rsid w:val="14B4083D"/>
    <w:rsid w:val="14BD6685"/>
    <w:rsid w:val="1E305F64"/>
    <w:rsid w:val="34F82D1B"/>
    <w:rsid w:val="435766B4"/>
    <w:rsid w:val="488C32A4"/>
    <w:rsid w:val="4B315D0E"/>
    <w:rsid w:val="4D700A9E"/>
    <w:rsid w:val="54627409"/>
    <w:rsid w:val="556F7394"/>
    <w:rsid w:val="6D7D3ABA"/>
    <w:rsid w:val="6F1E76D0"/>
    <w:rsid w:val="766908F5"/>
    <w:rsid w:val="79A951B4"/>
    <w:rsid w:val="7E341BAD"/>
    <w:rsid w:val="7F1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/>
      <w:color w:val="333333"/>
      <w:kern w:val="0"/>
      <w:sz w:val="30"/>
      <w:szCs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  <w:jc w:val="center"/>
    </w:pPr>
    <w:rPr>
      <w:rFonts w:ascii="文星标宋" w:eastAsia="文星标宋"/>
      <w:sz w:val="44"/>
      <w:szCs w:val="3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00"/>
      <w:sz w:val="21"/>
      <w:szCs w:val="21"/>
      <w:u w:val="none"/>
    </w:rPr>
  </w:style>
  <w:style w:type="character" w:customStyle="1" w:styleId="10">
    <w:name w:val="页眉 Char"/>
    <w:basedOn w:val="8"/>
    <w:link w:val="6"/>
    <w:qFormat/>
    <w:uiPriority w:val="0"/>
    <w:rPr>
      <w:rFonts w:ascii="Times New Roman" w:hAnsi="Times New Roman" w:eastAsia="Times New Roman" w:cs="Times New Roman"/>
      <w:kern w:val="2"/>
      <w:sz w:val="18"/>
      <w:szCs w:val="18"/>
    </w:rPr>
  </w:style>
  <w:style w:type="character" w:customStyle="1" w:styleId="11">
    <w:name w:val="标题 3 Char"/>
    <w:basedOn w:val="8"/>
    <w:link w:val="4"/>
    <w:qFormat/>
    <w:uiPriority w:val="0"/>
    <w:rPr>
      <w:rFonts w:ascii="宋体" w:hAnsi="宋体" w:eastAsia="宋体" w:cs="Times New Roman"/>
      <w:color w:val="333333"/>
      <w:sz w:val="30"/>
      <w:szCs w:val="30"/>
    </w:rPr>
  </w:style>
  <w:style w:type="character" w:customStyle="1" w:styleId="12">
    <w:name w:val="apple-style-span"/>
    <w:basedOn w:val="8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eastAsia="宋体" w:cs="宋体"/>
      <w:color w:val="000000"/>
      <w:kern w:val="0"/>
      <w:szCs w:val="21"/>
    </w:rPr>
  </w:style>
  <w:style w:type="character" w:customStyle="1" w:styleId="14">
    <w:name w:val="标题 1 Char"/>
    <w:basedOn w:val="8"/>
    <w:link w:val="3"/>
    <w:qFormat/>
    <w:uiPriority w:val="0"/>
    <w:rPr>
      <w:rFonts w:ascii="Times New Roman" w:hAnsi="Times New Roman" w:eastAsia="Times New Roman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5C0F0-8519-4432-971C-E3F788BD8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3170</Words>
  <Characters>3299</Characters>
  <Lines>22</Lines>
  <Paragraphs>6</Paragraphs>
  <TotalTime>98</TotalTime>
  <ScaleCrop>false</ScaleCrop>
  <LinksUpToDate>false</LinksUpToDate>
  <CharactersWithSpaces>3329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2023-10-23T06:53:42Z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6451249048FA4AEDAC1B4E1B45F3B173</vt:lpwstr>
  </property>
</Properties>
</file>